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6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header7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063"/>
        <w:ind w:left="5840" w:firstLine="567"/>
        <w:jc w:val="both"/>
        <w:spacing w:before="0" w:after="302" w:line="240" w:lineRule="auto"/>
        <w:shd w:val="clear" w:color="auto" w:fill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УТВЕРЖДАЮ</w:t>
      </w:r>
      <w:r>
        <w:rPr>
          <w:sz w:val="24"/>
          <w:szCs w:val="24"/>
        </w:rPr>
      </w:r>
    </w:p>
    <w:p>
      <w:pPr>
        <w:pStyle w:val="1063"/>
        <w:ind w:left="6237" w:right="720"/>
        <w:jc w:val="both"/>
        <w:spacing w:before="0" w:after="39" w:line="240" w:lineRule="auto"/>
        <w:shd w:val="clear" w:color="auto" w:fill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Председатель постоянно действующей единой комиссии</w:t>
      </w:r>
      <w:r>
        <w:rPr>
          <w:sz w:val="24"/>
          <w:szCs w:val="24"/>
        </w:rPr>
      </w:r>
    </w:p>
    <w:p>
      <w:pPr>
        <w:pStyle w:val="1063"/>
        <w:ind w:right="80" w:firstLine="567"/>
        <w:jc w:val="both"/>
        <w:spacing w:before="0" w:after="0" w:line="240" w:lineRule="auto"/>
        <w:shd w:val="clear" w:color="auto" w:fill="auto"/>
        <w:tabs>
          <w:tab w:val="left" w:pos="2530" w:leader="underscor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063"/>
        <w:ind w:right="80" w:firstLine="567"/>
        <w:jc w:val="right"/>
        <w:spacing w:before="0" w:after="0" w:line="240" w:lineRule="auto"/>
        <w:shd w:val="clear" w:color="auto" w:fill="auto"/>
        <w:tabs>
          <w:tab w:val="left" w:pos="2530" w:leader="underscore"/>
          <w:tab w:val="left" w:pos="5812" w:leader="none"/>
          <w:tab w:val="left" w:pos="6096" w:leader="none"/>
        </w:tabs>
        <w:rPr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М.Ш. Аскаров</w:t>
      </w:r>
      <w:r>
        <w:rPr>
          <w:sz w:val="24"/>
          <w:szCs w:val="24"/>
        </w:rPr>
      </w:r>
    </w:p>
    <w:p>
      <w:pPr>
        <w:pStyle w:val="1063"/>
        <w:ind w:left="5812" w:firstLine="567"/>
        <w:jc w:val="both"/>
        <w:spacing w:before="0" w:after="0" w:line="240" w:lineRule="auto"/>
        <w:shd w:val="clear" w:color="auto" w:fill="auto"/>
        <w:tabs>
          <w:tab w:val="left" w:pos="7789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063"/>
        <w:ind w:left="5812" w:firstLine="567"/>
        <w:jc w:val="both"/>
        <w:spacing w:before="0" w:after="0" w:line="240" w:lineRule="auto"/>
        <w:shd w:val="clear" w:color="auto" w:fill="auto"/>
        <w:tabs>
          <w:tab w:val="left" w:pos="7789" w:leader="none"/>
        </w:tabs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«___</w:t>
      </w:r>
      <w:r>
        <w:rPr>
          <w:color w:val="000000"/>
          <w:sz w:val="24"/>
          <w:szCs w:val="24"/>
        </w:rPr>
        <w:t xml:space="preserve">_»_</w:t>
      </w:r>
      <w:r>
        <w:rPr>
          <w:color w:val="000000"/>
          <w:sz w:val="24"/>
          <w:szCs w:val="24"/>
        </w:rPr>
        <w:t xml:space="preserve">_______________202</w:t>
      </w:r>
      <w:r>
        <w:rPr>
          <w:color w:val="000000"/>
          <w:sz w:val="24"/>
          <w:szCs w:val="24"/>
        </w:rPr>
        <w:t xml:space="preserve">6 </w:t>
      </w:r>
      <w:r>
        <w:rPr>
          <w:color w:val="000000"/>
          <w:sz w:val="24"/>
          <w:szCs w:val="24"/>
        </w:rPr>
        <w:t xml:space="preserve">г.</w:t>
      </w:r>
      <w:r>
        <w:rPr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567"/>
        <w:jc w:val="center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567"/>
        <w:jc w:val="center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Документация об Аукционе в электронной форме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567"/>
        <w:jc w:val="both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/>
      <w:bookmarkStart w:id="0" w:name="_Hlk123136247"/>
      <w:r>
        <w:rPr>
          <w:rFonts w:ascii="Times New Roman" w:hAnsi="Times New Roman" w:cs="Times New Roman"/>
          <w:b/>
          <w:bCs/>
          <w:sz w:val="24"/>
          <w:szCs w:val="24"/>
        </w:rPr>
        <w:t xml:space="preserve">СРЕДИ СУБЪЕКТОВ МАЛОГО И СРЕДНЕГО ПРЕДПРИНИМАТЕЛЬСТВА </w:t>
      </w:r>
      <w:bookmarkEnd w:id="0"/>
      <w:r/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 право заключения договора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оказание услуг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 уборке подвижного состава в пунктах оборота Горьковской железной дороги – филиала ОАО «РЖД» в 2026-2028 гг.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1065"/>
        <w:ind w:firstLine="709"/>
        <w:jc w:val="both"/>
        <w:spacing w:after="0" w:line="240" w:lineRule="auto"/>
        <w:shd w:val="clear" w:color="auto" w:fill="auto"/>
        <w:tabs>
          <w:tab w:val="left" w:pos="730" w:leader="none"/>
        </w:tabs>
        <w:rPr>
          <w:color w:val="000000"/>
          <w:sz w:val="28"/>
          <w:szCs w:val="28"/>
        </w:rPr>
        <w:outlineLvl w:val="9"/>
      </w:pPr>
      <w:r/>
      <w:bookmarkStart w:id="1" w:name="bookmark1"/>
      <w:r/>
      <w:r>
        <w:rPr>
          <w:color w:val="000000"/>
          <w:sz w:val="28"/>
          <w:szCs w:val="28"/>
        </w:rPr>
      </w:r>
    </w:p>
    <w:p>
      <w:pPr>
        <w:pStyle w:val="1065"/>
        <w:ind w:firstLine="709"/>
        <w:jc w:val="both"/>
        <w:spacing w:after="0" w:line="240" w:lineRule="auto"/>
        <w:shd w:val="clear" w:color="auto" w:fill="auto"/>
        <w:tabs>
          <w:tab w:val="left" w:pos="730" w:leader="none"/>
        </w:tabs>
        <w:rPr>
          <w:color w:val="000000"/>
          <w:sz w:val="28"/>
          <w:szCs w:val="28"/>
        </w:rPr>
        <w:outlineLvl w:val="9"/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65"/>
        <w:ind w:firstLine="709"/>
        <w:jc w:val="both"/>
        <w:spacing w:after="0" w:line="240" w:lineRule="auto"/>
        <w:shd w:val="clear" w:color="auto" w:fill="auto"/>
        <w:tabs>
          <w:tab w:val="left" w:pos="730" w:leader="none"/>
        </w:tabs>
        <w:rPr>
          <w:sz w:val="28"/>
          <w:szCs w:val="28"/>
        </w:rPr>
        <w:outlineLvl w:val="9"/>
      </w:pPr>
      <w:r>
        <w:rPr>
          <w:color w:val="000000"/>
          <w:sz w:val="28"/>
          <w:szCs w:val="28"/>
        </w:rPr>
        <w:t xml:space="preserve">Условия проведения аукциона</w:t>
      </w:r>
      <w:bookmarkEnd w:id="1"/>
      <w:r/>
      <w:r>
        <w:rPr>
          <w:sz w:val="28"/>
          <w:szCs w:val="28"/>
        </w:rPr>
      </w:r>
    </w:p>
    <w:p>
      <w:pPr>
        <w:pStyle w:val="1065"/>
        <w:ind w:firstLine="709"/>
        <w:jc w:val="both"/>
        <w:spacing w:after="0" w:line="240" w:lineRule="auto"/>
        <w:shd w:val="clear" w:color="auto" w:fill="auto"/>
        <w:tabs>
          <w:tab w:val="left" w:pos="730" w:leader="none"/>
        </w:tabs>
        <w:rPr>
          <w:sz w:val="28"/>
          <w:szCs w:val="28"/>
        </w:rPr>
        <w:outlineLvl w:val="9"/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65"/>
        <w:numPr>
          <w:ilvl w:val="0"/>
          <w:numId w:val="1"/>
        </w:numPr>
        <w:ind w:firstLine="709"/>
        <w:jc w:val="both"/>
        <w:spacing w:after="0" w:line="240" w:lineRule="auto"/>
        <w:shd w:val="clear" w:color="auto" w:fill="auto"/>
        <w:tabs>
          <w:tab w:val="left" w:pos="1436" w:leader="none"/>
        </w:tabs>
        <w:rPr>
          <w:sz w:val="28"/>
          <w:szCs w:val="28"/>
        </w:rPr>
        <w:outlineLvl w:val="9"/>
      </w:pPr>
      <w:r/>
      <w:bookmarkStart w:id="2" w:name="bookmark2"/>
      <w:r>
        <w:rPr>
          <w:color w:val="000000"/>
          <w:sz w:val="28"/>
          <w:szCs w:val="28"/>
        </w:rPr>
        <w:t xml:space="preserve">Общие условия проведения аукциона</w:t>
      </w:r>
      <w:bookmarkEnd w:id="2"/>
      <w:r/>
      <w:r>
        <w:rPr>
          <w:sz w:val="28"/>
          <w:szCs w:val="28"/>
        </w:rPr>
      </w:r>
    </w:p>
    <w:p>
      <w:pPr>
        <w:pStyle w:val="1065"/>
        <w:numPr>
          <w:ilvl w:val="1"/>
          <w:numId w:val="1"/>
        </w:numPr>
        <w:ind w:firstLine="709"/>
        <w:jc w:val="both"/>
        <w:spacing w:after="0" w:line="240" w:lineRule="auto"/>
        <w:shd w:val="clear" w:color="auto" w:fill="auto"/>
        <w:tabs>
          <w:tab w:val="left" w:pos="1436" w:leader="none"/>
        </w:tabs>
        <w:rPr>
          <w:sz w:val="28"/>
          <w:szCs w:val="28"/>
        </w:rPr>
        <w:outlineLvl w:val="9"/>
      </w:pPr>
      <w:r/>
      <w:bookmarkStart w:id="3" w:name="bookmark3"/>
      <w:r>
        <w:rPr>
          <w:color w:val="000000"/>
          <w:sz w:val="28"/>
          <w:szCs w:val="28"/>
        </w:rPr>
        <w:t xml:space="preserve">Сведения о заказчике</w:t>
      </w:r>
      <w:bookmarkEnd w:id="3"/>
      <w:r/>
      <w:r>
        <w:rPr>
          <w:sz w:val="28"/>
          <w:szCs w:val="28"/>
        </w:rPr>
      </w:r>
    </w:p>
    <w:p>
      <w:pPr>
        <w:pStyle w:val="1063"/>
        <w:numPr>
          <w:ilvl w:val="2"/>
          <w:numId w:val="1"/>
        </w:numPr>
        <w:ind w:firstLine="709"/>
        <w:jc w:val="both"/>
        <w:spacing w:before="0" w:after="0" w:line="240" w:lineRule="auto"/>
        <w:shd w:val="clear" w:color="auto" w:fill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Заказчик - АО «Содружество».</w:t>
      </w:r>
      <w:r>
        <w:rPr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нахождения Заказчика: 420021, г. Казань, ул. Галиаскара Камала, д. 11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Почтовый адрес Заказчика: 420021, г. Казань, ул. Галиаскара Камала, д. 11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1.1.2. Контактные данные: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 Заказчика: </w:t>
      </w:r>
      <w:r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Fonts w:ascii="Times New Roman" w:hAnsi="Times New Roman" w:cs="Times New Roman"/>
          <w:sz w:val="28"/>
          <w:szCs w:val="28"/>
        </w:rPr>
        <w:t xml:space="preserve">I к</w:t>
      </w:r>
      <w:r>
        <w:rPr>
          <w:rFonts w:ascii="Times New Roman" w:hAnsi="Times New Roman" w:cs="Times New Roman"/>
          <w:sz w:val="28"/>
          <w:szCs w:val="28"/>
        </w:rPr>
        <w:t xml:space="preserve">атегории </w:t>
      </w:r>
      <w:r>
        <w:rPr>
          <w:rFonts w:ascii="Times New Roman" w:hAnsi="Times New Roman" w:cs="Times New Roman"/>
          <w:sz w:val="28"/>
          <w:szCs w:val="28"/>
        </w:rPr>
        <w:t xml:space="preserve">Клабукова Яна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Сергеевна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контактного телефона/факса Заказчика: +7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(843)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202-28-1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9 (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вн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225)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 Заказчика: </w:t>
      </w:r>
      <w:hyperlink r:id="rId20" w:tooltip="mailto:sodr.tendr@mail.ru" w:history="1">
        <w:r>
          <w:rPr>
            <w:rStyle w:val="1070"/>
            <w:rFonts w:ascii="Times New Roman" w:hAnsi="Times New Roman" w:cs="Times New Roman"/>
            <w:sz w:val="28"/>
            <w:szCs w:val="28"/>
            <w:lang w:val="en-US"/>
          </w:rPr>
          <w:t xml:space="preserve">sodr</w:t>
        </w:r>
        <w:r>
          <w:rPr>
            <w:rStyle w:val="1070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1070"/>
            <w:rFonts w:ascii="Times New Roman" w:hAnsi="Times New Roman" w:cs="Times New Roman"/>
            <w:sz w:val="28"/>
            <w:szCs w:val="28"/>
            <w:lang w:val="en-US"/>
          </w:rPr>
          <w:t xml:space="preserve">tendr</w:t>
        </w:r>
        <w:r>
          <w:rPr>
            <w:rStyle w:val="1070"/>
            <w:rFonts w:ascii="Times New Roman" w:hAnsi="Times New Roman" w:cs="Times New Roman"/>
            <w:sz w:val="28"/>
            <w:szCs w:val="28"/>
          </w:rPr>
          <w:t xml:space="preserve">@</w:t>
        </w:r>
        <w:r>
          <w:rPr>
            <w:rStyle w:val="1070"/>
            <w:rFonts w:ascii="Times New Roman" w:hAnsi="Times New Roman" w:cs="Times New Roman"/>
            <w:sz w:val="28"/>
            <w:szCs w:val="28"/>
            <w:lang w:val="en-US"/>
          </w:rPr>
          <w:t xml:space="preserve">mail</w:t>
        </w:r>
        <w:r>
          <w:rPr>
            <w:rStyle w:val="1070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1070"/>
            <w:rFonts w:ascii="Times New Roman" w:hAnsi="Times New Roman" w:cs="Times New Roman"/>
            <w:sz w:val="28"/>
            <w:szCs w:val="28"/>
            <w:lang w:val="en-US"/>
          </w:rPr>
          <w:t xml:space="preserve">ru</w:t>
        </w:r>
      </w:hyperlink>
      <w:r/>
      <w:r>
        <w:rPr>
          <w:rFonts w:ascii="Times New Roman" w:hAnsi="Times New Roman" w:cs="Times New Roman"/>
          <w:sz w:val="28"/>
          <w:szCs w:val="28"/>
        </w:rPr>
      </w:r>
    </w:p>
    <w:p>
      <w:pPr>
        <w:pStyle w:val="1067"/>
        <w:ind w:firstLine="709"/>
        <w:spacing w:before="0" w:line="240" w:lineRule="auto"/>
        <w:shd w:val="clear" w:color="auto" w:fil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65"/>
        <w:numPr>
          <w:ilvl w:val="1"/>
          <w:numId w:val="1"/>
        </w:numPr>
        <w:ind w:firstLine="709"/>
        <w:jc w:val="both"/>
        <w:spacing w:after="0" w:line="240" w:lineRule="auto"/>
        <w:shd w:val="clear" w:color="auto" w:fill="auto"/>
        <w:tabs>
          <w:tab w:val="left" w:pos="1436" w:leader="none"/>
        </w:tabs>
        <w:rPr>
          <w:sz w:val="28"/>
          <w:szCs w:val="28"/>
        </w:rPr>
        <w:outlineLvl w:val="9"/>
      </w:pPr>
      <w:r/>
      <w:bookmarkStart w:id="4" w:name="bookmark4"/>
      <w:r>
        <w:rPr>
          <w:color w:val="000000"/>
          <w:sz w:val="28"/>
          <w:szCs w:val="28"/>
        </w:rPr>
        <w:t xml:space="preserve">Способ проведения</w:t>
      </w:r>
      <w:bookmarkEnd w:id="4"/>
      <w:r>
        <w:rPr>
          <w:color w:val="000000"/>
          <w:sz w:val="28"/>
          <w:szCs w:val="28"/>
        </w:rPr>
        <w:t xml:space="preserve"> закупки</w:t>
      </w:r>
      <w:r>
        <w:rPr>
          <w:sz w:val="28"/>
          <w:szCs w:val="28"/>
        </w:rPr>
      </w:r>
    </w:p>
    <w:p>
      <w:pPr>
        <w:pStyle w:val="1065"/>
        <w:ind w:firstLine="709"/>
        <w:jc w:val="both"/>
        <w:spacing w:after="0" w:line="240" w:lineRule="auto"/>
        <w:shd w:val="clear" w:color="auto" w:fill="auto"/>
        <w:tabs>
          <w:tab w:val="left" w:pos="1436" w:leader="none"/>
        </w:tabs>
        <w:rPr>
          <w:b w:val="0"/>
          <w:color w:val="000000"/>
          <w:sz w:val="28"/>
          <w:szCs w:val="28"/>
        </w:rPr>
        <w:outlineLvl w:val="9"/>
      </w:pPr>
      <w:r>
        <w:rPr>
          <w:b w:val="0"/>
          <w:color w:val="000000"/>
          <w:sz w:val="28"/>
          <w:szCs w:val="28"/>
        </w:rPr>
        <w:t xml:space="preserve">Открытый аукцион в электронной форме</w:t>
      </w:r>
      <w:r>
        <w:rPr>
          <w:b w:val="0"/>
          <w:color w:val="000000"/>
          <w:sz w:val="28"/>
          <w:szCs w:val="28"/>
        </w:rPr>
      </w:r>
    </w:p>
    <w:p>
      <w:pPr>
        <w:pStyle w:val="1063"/>
        <w:ind w:firstLine="709"/>
        <w:jc w:val="both"/>
        <w:spacing w:before="0" w:after="0" w:line="240" w:lineRule="auto"/>
        <w:shd w:val="clear" w:color="auto" w:fil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Данная процедура проходит </w:t>
      </w:r>
      <w:r>
        <w:rPr>
          <w:bCs/>
          <w:sz w:val="28"/>
          <w:szCs w:val="28"/>
        </w:rPr>
        <w:t xml:space="preserve">на сайте </w:t>
      </w:r>
      <w:r>
        <w:rPr>
          <w:rFonts w:eastAsia="Calibri"/>
          <w:sz w:val="28"/>
          <w:szCs w:val="28"/>
        </w:rPr>
        <w:t xml:space="preserve">«</w:t>
      </w:r>
      <w:r>
        <w:rPr>
          <w:rFonts w:eastAsia="Calibri"/>
          <w:sz w:val="28"/>
          <w:szCs w:val="28"/>
        </w:rPr>
        <w:t xml:space="preserve">ZakazRF</w:t>
      </w:r>
      <w:r>
        <w:rPr>
          <w:rFonts w:eastAsia="Calibri"/>
          <w:sz w:val="28"/>
          <w:szCs w:val="28"/>
        </w:rPr>
        <w:t xml:space="preserve"> 223» Агентство по государственному заказу Республики Татарстан» </w:t>
      </w:r>
      <w:r>
        <w:rPr>
          <w:b/>
          <w:i/>
          <w:iCs/>
          <w:sz w:val="28"/>
          <w:szCs w:val="28"/>
        </w:rPr>
        <w:t xml:space="preserve">http://223etp.zakazrf.ru/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электронная площадка)</w:t>
      </w:r>
      <w:r>
        <w:rPr>
          <w:color w:val="000000"/>
          <w:sz w:val="28"/>
          <w:szCs w:val="28"/>
        </w:rPr>
        <w:t xml:space="preserve">. В случае возникновения затруднений </w:t>
      </w:r>
      <w:r>
        <w:rPr>
          <w:color w:val="000000"/>
          <w:sz w:val="28"/>
          <w:szCs w:val="28"/>
        </w:rPr>
        <w:t xml:space="preserve">технического характера необходимо незамедлительно обратиться в службу технической поддержки по телефону или электронной почте, указанным на сайте данной площадки, а также сообщить об этом контактному лицу, указанному в пункте 1.1.2 аукционной документации.</w:t>
      </w:r>
      <w:r>
        <w:rPr>
          <w:color w:val="000000"/>
          <w:sz w:val="28"/>
          <w:szCs w:val="28"/>
        </w:rPr>
      </w:r>
    </w:p>
    <w:p>
      <w:pPr>
        <w:pStyle w:val="1063"/>
        <w:ind w:firstLine="709"/>
        <w:jc w:val="both"/>
        <w:spacing w:before="0" w:after="0" w:line="240" w:lineRule="auto"/>
        <w:shd w:val="clear" w:color="auto" w:fil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065"/>
        <w:numPr>
          <w:ilvl w:val="1"/>
          <w:numId w:val="1"/>
        </w:numPr>
        <w:ind w:firstLine="709"/>
        <w:jc w:val="both"/>
        <w:spacing w:after="0" w:line="240" w:lineRule="auto"/>
        <w:shd w:val="clear" w:color="auto" w:fill="auto"/>
        <w:tabs>
          <w:tab w:val="left" w:pos="1451" w:leader="none"/>
        </w:tabs>
        <w:rPr>
          <w:sz w:val="28"/>
          <w:szCs w:val="28"/>
        </w:rPr>
        <w:outlineLvl w:val="9"/>
      </w:pPr>
      <w:r/>
      <w:bookmarkStart w:id="5" w:name="bookmark5"/>
      <w:r>
        <w:rPr>
          <w:color w:val="000000"/>
          <w:sz w:val="28"/>
          <w:szCs w:val="28"/>
        </w:rPr>
        <w:t xml:space="preserve">Предмет аукциона</w:t>
      </w:r>
      <w:bookmarkEnd w:id="5"/>
      <w:r/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оказание услуг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bookmarkStart w:id="6" w:name="_Hlk148364827"/>
      <w:r>
        <w:rPr>
          <w:rFonts w:ascii="Times New Roman" w:hAnsi="Times New Roman" w:cs="Times New Roman"/>
          <w:bCs/>
          <w:i/>
          <w:sz w:val="28"/>
          <w:szCs w:val="28"/>
        </w:rPr>
        <w:t xml:space="preserve">по уборке подвижного состава в пунктах оборота Горьковской железной дороги -филиала ОАО «РЖД» в 2026—2028гг</w:t>
      </w:r>
      <w:bookmarkEnd w:id="6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</w:r>
    </w:p>
    <w:p>
      <w:pPr>
        <w:pStyle w:val="1065"/>
        <w:ind w:left="709"/>
        <w:jc w:val="both"/>
        <w:spacing w:after="0" w:line="240" w:lineRule="auto"/>
        <w:shd w:val="clear" w:color="auto" w:fill="auto"/>
        <w:tabs>
          <w:tab w:val="left" w:pos="1451" w:leader="none"/>
        </w:tabs>
        <w:rPr>
          <w:sz w:val="28"/>
          <w:szCs w:val="28"/>
        </w:rPr>
        <w:outlineLvl w:val="9"/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71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8"/>
        </w:rPr>
        <w:t xml:space="preserve">Антидемпинговые меры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Демпинговой ценой при проведении закупки считается цена, сниженная по отношению к начальной (максимальной) цене договора (лота) на 25 % и более.</w:t>
      </w: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 проведении закупки применяются следующие антидемпинговые меры:</w:t>
      </w:r>
      <w:r>
        <w:rPr>
          <w:rFonts w:ascii="Times New Roman" w:hAnsi="Times New Roman" w:cs="Times New Roman"/>
          <w:bCs/>
          <w:i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участником обеспечения исполнения договора в размере, превышающем размер, установленный в аукционной документации в 1,5 раза, но не менее чем размер аванса (если проектом договора предусмотрена выплата аванса).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признания победителя аукциона уклонившимся от заключения договора, на участника аукциона, с которым в соответствии с аукционной документацией заключается договор, распространяются установленные настоящим пунктом требования в полном объеме.</w:t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pStyle w:val="1071"/>
        <w:ind w:left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8"/>
        </w:rPr>
      </w:r>
    </w:p>
    <w:p>
      <w:pPr>
        <w:pStyle w:val="1065"/>
        <w:numPr>
          <w:ilvl w:val="1"/>
          <w:numId w:val="1"/>
        </w:numPr>
        <w:ind w:firstLine="709"/>
        <w:jc w:val="both"/>
        <w:spacing w:after="0" w:line="240" w:lineRule="auto"/>
        <w:shd w:val="clear" w:color="auto" w:fill="auto"/>
        <w:tabs>
          <w:tab w:val="left" w:pos="1436" w:leader="none"/>
        </w:tabs>
        <w:rPr>
          <w:sz w:val="28"/>
          <w:szCs w:val="28"/>
        </w:rPr>
        <w:outlineLvl w:val="9"/>
      </w:pPr>
      <w:r>
        <w:rPr>
          <w:sz w:val="28"/>
          <w:szCs w:val="28"/>
        </w:rPr>
        <w:t xml:space="preserve">Обеспечение заявок</w:t>
      </w:r>
      <w:r>
        <w:rPr>
          <w:sz w:val="28"/>
          <w:szCs w:val="28"/>
        </w:rPr>
      </w:r>
    </w:p>
    <w:p>
      <w:pPr>
        <w:pStyle w:val="1065"/>
        <w:ind w:firstLine="709"/>
        <w:jc w:val="both"/>
        <w:spacing w:after="0" w:line="240" w:lineRule="auto"/>
        <w:shd w:val="clear" w:color="auto" w:fill="auto"/>
        <w:tabs>
          <w:tab w:val="left" w:pos="1436" w:leader="none"/>
        </w:tabs>
        <w:rPr>
          <w:b w:val="0"/>
          <w:sz w:val="28"/>
          <w:szCs w:val="28"/>
        </w:rPr>
        <w:outlineLvl w:val="9"/>
      </w:pPr>
      <w:r>
        <w:rPr>
          <w:b w:val="0"/>
          <w:sz w:val="28"/>
          <w:szCs w:val="28"/>
        </w:rPr>
        <w:t xml:space="preserve">Не предусмотрено.</w:t>
      </w:r>
      <w:r>
        <w:rPr>
          <w:b w:val="0"/>
          <w:sz w:val="28"/>
          <w:szCs w:val="28"/>
        </w:rPr>
      </w:r>
    </w:p>
    <w:p>
      <w:pPr>
        <w:pStyle w:val="1065"/>
        <w:numPr>
          <w:ilvl w:val="1"/>
          <w:numId w:val="1"/>
        </w:numPr>
        <w:ind w:firstLine="709"/>
        <w:jc w:val="both"/>
        <w:spacing w:after="0" w:line="240" w:lineRule="auto"/>
        <w:shd w:val="clear" w:color="auto" w:fill="auto"/>
        <w:tabs>
          <w:tab w:val="left" w:pos="1436" w:leader="none"/>
        </w:tabs>
        <w:rPr>
          <w:sz w:val="28"/>
          <w:szCs w:val="28"/>
        </w:rPr>
        <w:outlineLvl w:val="9"/>
      </w:pPr>
      <w:r>
        <w:rPr>
          <w:sz w:val="28"/>
          <w:szCs w:val="28"/>
        </w:rPr>
        <w:t xml:space="preserve">Обеспечение исполнения договора</w:t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 xml:space="preserve">Размер   </w:t>
      </w: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 xml:space="preserve">обеспечения исполнения договора устанавливается в размере</w:t>
      </w: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 xml:space="preserve">1 500 000,00 рублей.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Условия предоставления обеспечения исполнения договора указаны в п.9 аукционной документации.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1065"/>
        <w:ind w:left="709"/>
        <w:jc w:val="both"/>
        <w:spacing w:after="0" w:line="240" w:lineRule="auto"/>
        <w:shd w:val="clear" w:color="auto" w:fill="auto"/>
        <w:tabs>
          <w:tab w:val="left" w:pos="1436" w:leader="none"/>
        </w:tabs>
        <w:rPr>
          <w:sz w:val="28"/>
          <w:szCs w:val="28"/>
        </w:rPr>
        <w:outlineLvl w:val="9"/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65"/>
        <w:numPr>
          <w:ilvl w:val="1"/>
          <w:numId w:val="1"/>
        </w:numPr>
        <w:ind w:firstLine="709"/>
        <w:jc w:val="both"/>
        <w:spacing w:after="0" w:line="240" w:lineRule="auto"/>
        <w:shd w:val="clear" w:color="auto" w:fill="auto"/>
        <w:tabs>
          <w:tab w:val="left" w:pos="1446" w:leader="none"/>
        </w:tabs>
        <w:rPr>
          <w:sz w:val="28"/>
          <w:szCs w:val="28"/>
        </w:rPr>
        <w:outlineLvl w:val="9"/>
      </w:pPr>
      <w:r/>
      <w:bookmarkStart w:id="7" w:name="bookmark10"/>
      <w:r>
        <w:rPr>
          <w:sz w:val="28"/>
          <w:szCs w:val="28"/>
        </w:rPr>
        <w:t xml:space="preserve">Порядок, место, дата начала и окончания срока подачи заявок, вскрытия заявок</w:t>
      </w:r>
      <w:bookmarkEnd w:id="7"/>
      <w:r/>
      <w:r>
        <w:rPr>
          <w:sz w:val="28"/>
          <w:szCs w:val="28"/>
        </w:rPr>
      </w:r>
    </w:p>
    <w:p>
      <w:pPr>
        <w:pStyle w:val="1067"/>
        <w:ind w:firstLine="709"/>
        <w:spacing w:before="0" w:line="240" w:lineRule="auto"/>
        <w:shd w:val="clear" w:color="auto" w:fill="auto"/>
        <w:rPr>
          <w:rStyle w:val="1068"/>
          <w:color w:val="auto"/>
          <w:sz w:val="28"/>
          <w:szCs w:val="28"/>
        </w:rPr>
      </w:pPr>
      <w:r>
        <w:rPr>
          <w:rStyle w:val="1068"/>
          <w:color w:val="auto"/>
          <w:sz w:val="28"/>
          <w:szCs w:val="28"/>
        </w:rPr>
        <w:t xml:space="preserve">Заявки в электронной форме подаются в порядке, указанном в разделе 7.3 аукционной </w:t>
      </w:r>
      <w:r>
        <w:rPr>
          <w:rStyle w:val="1068"/>
          <w:color w:val="auto"/>
          <w:sz w:val="28"/>
          <w:szCs w:val="28"/>
        </w:rPr>
        <w:t xml:space="preserve">документации, </w:t>
      </w:r>
      <w:r>
        <w:rPr>
          <w:i w:val="0"/>
          <w:sz w:val="28"/>
          <w:szCs w:val="28"/>
        </w:rPr>
        <w:t xml:space="preserve">на сайте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http://223etp.zakazrf.ru/</w:t>
      </w:r>
      <w:r>
        <w:rPr>
          <w:rStyle w:val="1068"/>
          <w:color w:val="auto"/>
          <w:sz w:val="28"/>
          <w:szCs w:val="28"/>
        </w:rPr>
      </w:r>
    </w:p>
    <w:p>
      <w:pPr>
        <w:pStyle w:val="1067"/>
        <w:ind w:firstLine="709"/>
        <w:spacing w:before="0" w:line="240" w:lineRule="auto"/>
        <w:shd w:val="clear" w:color="auto" w:fill="auto"/>
        <w:rPr>
          <w:rStyle w:val="1068"/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rStyle w:val="1068"/>
          <w:color w:val="auto"/>
          <w:sz w:val="28"/>
          <w:szCs w:val="28"/>
        </w:rPr>
      </w:r>
    </w:p>
    <w:p>
      <w:pPr>
        <w:pStyle w:val="1063"/>
        <w:ind w:firstLine="709"/>
        <w:jc w:val="both"/>
        <w:spacing w:before="0" w:after="0" w:line="240" w:lineRule="auto"/>
        <w:shd w:val="clear" w:color="auto" w:fill="auto"/>
        <w:rPr>
          <w:rStyle w:val="1069"/>
          <w:b/>
          <w:i w:val="0"/>
          <w:color w:val="auto"/>
          <w:sz w:val="28"/>
          <w:szCs w:val="28"/>
        </w:rPr>
      </w:pPr>
      <w:r>
        <w:rPr>
          <w:b/>
          <w:sz w:val="28"/>
          <w:szCs w:val="28"/>
        </w:rPr>
        <w:t xml:space="preserve">Дата начала подачи заявок </w:t>
      </w:r>
      <w:r>
        <w:rPr>
          <w:sz w:val="28"/>
          <w:szCs w:val="28"/>
        </w:rPr>
        <w:t xml:space="preserve">– с «</w:t>
      </w:r>
      <w:r>
        <w:rPr>
          <w:b/>
          <w:sz w:val="28"/>
          <w:szCs w:val="28"/>
        </w:rPr>
        <w:t xml:space="preserve">14</w:t>
      </w:r>
      <w:r>
        <w:rPr>
          <w:rStyle w:val="1069"/>
          <w:b/>
          <w:i w:val="0"/>
          <w:color w:val="auto"/>
          <w:sz w:val="28"/>
          <w:szCs w:val="28"/>
        </w:rPr>
        <w:t xml:space="preserve">» </w:t>
      </w:r>
      <w:r>
        <w:rPr>
          <w:rStyle w:val="1069"/>
          <w:b/>
          <w:i w:val="0"/>
          <w:color w:val="auto"/>
          <w:sz w:val="28"/>
          <w:szCs w:val="28"/>
        </w:rPr>
        <w:t xml:space="preserve">августа </w:t>
      </w:r>
      <w:r>
        <w:rPr>
          <w:rStyle w:val="1069"/>
          <w:b/>
          <w:i w:val="0"/>
          <w:color w:val="auto"/>
          <w:sz w:val="28"/>
          <w:szCs w:val="28"/>
        </w:rPr>
        <w:t xml:space="preserve">202</w:t>
      </w:r>
      <w:r>
        <w:rPr>
          <w:rStyle w:val="1069"/>
          <w:b/>
          <w:i w:val="0"/>
          <w:color w:val="auto"/>
          <w:sz w:val="28"/>
          <w:szCs w:val="28"/>
        </w:rPr>
        <w:t xml:space="preserve">6</w:t>
      </w:r>
      <w:r>
        <w:rPr>
          <w:rStyle w:val="1069"/>
          <w:b/>
          <w:i w:val="0"/>
          <w:color w:val="auto"/>
          <w:sz w:val="28"/>
          <w:szCs w:val="28"/>
        </w:rPr>
        <w:t xml:space="preserve"> года.</w:t>
      </w:r>
      <w:r>
        <w:rPr>
          <w:rStyle w:val="1069"/>
          <w:b/>
          <w:i w:val="0"/>
          <w:color w:val="auto"/>
          <w:sz w:val="28"/>
          <w:szCs w:val="28"/>
        </w:rPr>
      </w:r>
    </w:p>
    <w:p>
      <w:pPr>
        <w:pStyle w:val="1063"/>
        <w:ind w:firstLine="709"/>
        <w:jc w:val="both"/>
        <w:spacing w:before="0" w:after="0" w:line="240" w:lineRule="auto"/>
        <w:shd w:val="clear" w:color="auto" w:fill="auto"/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</w:rPr>
        <w:t xml:space="preserve">Дата окончания срока подачи заявок</w:t>
      </w:r>
      <w:r>
        <w:rPr>
          <w:sz w:val="28"/>
          <w:szCs w:val="28"/>
        </w:rPr>
        <w:t xml:space="preserve"> – до 10:00 часов московского времени </w:t>
      </w:r>
      <w:r>
        <w:rPr>
          <w:b/>
          <w:sz w:val="28"/>
          <w:szCs w:val="28"/>
        </w:rPr>
        <w:t xml:space="preserve">«</w:t>
      </w:r>
      <w:r>
        <w:rPr>
          <w:b/>
          <w:sz w:val="28"/>
          <w:szCs w:val="28"/>
        </w:rPr>
        <w:t xml:space="preserve">31</w:t>
      </w:r>
      <w:r>
        <w:rPr>
          <w:b/>
          <w:sz w:val="28"/>
          <w:szCs w:val="28"/>
        </w:rPr>
        <w:t xml:space="preserve">» </w:t>
      </w:r>
      <w:r>
        <w:rPr>
          <w:rStyle w:val="1069"/>
          <w:b/>
          <w:i w:val="0"/>
          <w:color w:val="auto"/>
          <w:sz w:val="28"/>
          <w:szCs w:val="28"/>
        </w:rPr>
        <w:t xml:space="preserve">августа</w:t>
      </w:r>
      <w:r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 xml:space="preserve">6</w:t>
      </w:r>
      <w:r>
        <w:rPr>
          <w:b/>
          <w:sz w:val="28"/>
          <w:szCs w:val="28"/>
        </w:rPr>
        <w:t xml:space="preserve"> года.</w:t>
      </w:r>
      <w:r>
        <w:rPr>
          <w:b/>
          <w:sz w:val="28"/>
          <w:szCs w:val="28"/>
          <w:highlight w:val="yellow"/>
        </w:rPr>
      </w:r>
    </w:p>
    <w:p>
      <w:pPr>
        <w:pStyle w:val="1063"/>
        <w:ind w:firstLine="709"/>
        <w:jc w:val="both"/>
        <w:spacing w:before="0" w:after="0" w:line="240" w:lineRule="auto"/>
        <w:shd w:val="clear" w:color="auto" w:fill="auto"/>
        <w:rPr>
          <w:rStyle w:val="1069"/>
          <w:color w:val="auto"/>
          <w:sz w:val="28"/>
          <w:szCs w:val="28"/>
        </w:rPr>
      </w:pPr>
      <w:r>
        <w:rPr>
          <w:b/>
          <w:sz w:val="28"/>
          <w:szCs w:val="28"/>
        </w:rPr>
        <w:t xml:space="preserve">Рассмотрение первых частей аукционных заявок осуществляется </w:t>
      </w:r>
      <w:r>
        <w:rPr>
          <w:sz w:val="28"/>
          <w:szCs w:val="28"/>
        </w:rPr>
        <w:t xml:space="preserve">в 10:00 часов московского времени</w:t>
      </w:r>
      <w:r>
        <w:rPr>
          <w:b/>
          <w:sz w:val="28"/>
          <w:szCs w:val="28"/>
        </w:rPr>
        <w:t xml:space="preserve"> </w:t>
      </w:r>
      <w:r>
        <w:rPr>
          <w:rStyle w:val="1069"/>
          <w:b/>
          <w:i w:val="0"/>
          <w:color w:val="auto"/>
          <w:sz w:val="28"/>
          <w:szCs w:val="28"/>
        </w:rPr>
        <w:t xml:space="preserve">«</w:t>
      </w:r>
      <w:r>
        <w:rPr>
          <w:rStyle w:val="1069"/>
          <w:b/>
          <w:i w:val="0"/>
          <w:color w:val="auto"/>
          <w:sz w:val="28"/>
          <w:szCs w:val="28"/>
        </w:rPr>
        <w:t xml:space="preserve">31</w:t>
      </w:r>
      <w:r>
        <w:rPr>
          <w:rStyle w:val="1069"/>
          <w:b/>
          <w:i w:val="0"/>
          <w:color w:val="auto"/>
          <w:sz w:val="28"/>
          <w:szCs w:val="28"/>
        </w:rPr>
        <w:t xml:space="preserve">»</w:t>
      </w:r>
      <w:r>
        <w:rPr>
          <w:rStyle w:val="1069"/>
          <w:b/>
          <w:i w:val="0"/>
          <w:color w:val="auto"/>
          <w:sz w:val="28"/>
          <w:szCs w:val="28"/>
        </w:rPr>
        <w:t xml:space="preserve"> </w:t>
      </w:r>
      <w:r>
        <w:rPr>
          <w:rStyle w:val="1069"/>
          <w:b/>
          <w:i w:val="0"/>
          <w:color w:val="auto"/>
          <w:sz w:val="28"/>
          <w:szCs w:val="28"/>
        </w:rPr>
        <w:t xml:space="preserve">августа</w:t>
      </w:r>
      <w:r>
        <w:rPr>
          <w:rStyle w:val="1069"/>
          <w:b/>
          <w:i w:val="0"/>
          <w:color w:val="auto"/>
          <w:sz w:val="28"/>
          <w:szCs w:val="28"/>
        </w:rPr>
        <w:t xml:space="preserve"> </w:t>
      </w:r>
      <w:r>
        <w:rPr>
          <w:rStyle w:val="1069"/>
          <w:b/>
          <w:i w:val="0"/>
          <w:color w:val="auto"/>
          <w:sz w:val="28"/>
          <w:szCs w:val="28"/>
        </w:rPr>
        <w:t xml:space="preserve">202</w:t>
      </w:r>
      <w:r>
        <w:rPr>
          <w:rStyle w:val="1069"/>
          <w:b/>
          <w:i w:val="0"/>
          <w:color w:val="auto"/>
          <w:sz w:val="28"/>
          <w:szCs w:val="28"/>
        </w:rPr>
        <w:t xml:space="preserve">6</w:t>
      </w:r>
      <w:r>
        <w:rPr>
          <w:b/>
          <w:sz w:val="28"/>
          <w:szCs w:val="28"/>
        </w:rPr>
        <w:t xml:space="preserve"> года</w:t>
      </w:r>
      <w:r>
        <w:rPr>
          <w:rStyle w:val="1069"/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 xml:space="preserve">по адресу:</w:t>
      </w:r>
      <w:r>
        <w:rPr>
          <w:b/>
          <w:sz w:val="28"/>
          <w:szCs w:val="28"/>
        </w:rPr>
        <w:t xml:space="preserve"> </w:t>
      </w:r>
      <w:r>
        <w:rPr>
          <w:rStyle w:val="1069"/>
          <w:color w:val="auto"/>
          <w:sz w:val="28"/>
          <w:szCs w:val="28"/>
        </w:rPr>
        <w:t xml:space="preserve">г. Казань, ул.</w:t>
      </w:r>
      <w:r>
        <w:rPr>
          <w:rStyle w:val="1069"/>
          <w:b/>
          <w:color w:val="auto"/>
          <w:sz w:val="28"/>
          <w:szCs w:val="28"/>
        </w:rPr>
        <w:t xml:space="preserve"> </w:t>
      </w:r>
      <w:r>
        <w:rPr>
          <w:rStyle w:val="1069"/>
          <w:color w:val="auto"/>
          <w:sz w:val="28"/>
          <w:szCs w:val="28"/>
        </w:rPr>
        <w:t xml:space="preserve">Галиаскара Камала, д.11, </w:t>
      </w:r>
      <w:r>
        <w:rPr>
          <w:rStyle w:val="1069"/>
          <w:color w:val="auto"/>
          <w:sz w:val="28"/>
          <w:szCs w:val="28"/>
        </w:rPr>
        <w:t xml:space="preserve">каб</w:t>
      </w:r>
      <w:r>
        <w:rPr>
          <w:rStyle w:val="1069"/>
          <w:color w:val="auto"/>
          <w:sz w:val="28"/>
          <w:szCs w:val="28"/>
        </w:rPr>
        <w:t xml:space="preserve">. 301.</w:t>
      </w:r>
      <w:r>
        <w:rPr>
          <w:rStyle w:val="1069"/>
          <w:color w:val="auto"/>
          <w:sz w:val="28"/>
          <w:szCs w:val="28"/>
        </w:rPr>
      </w:r>
    </w:p>
    <w:p>
      <w:pPr>
        <w:pStyle w:val="1063"/>
        <w:ind w:firstLine="709"/>
        <w:jc w:val="both"/>
        <w:spacing w:before="0" w:after="0" w:line="240" w:lineRule="auto"/>
        <w:shd w:val="clear" w:color="auto" w:fill="auto"/>
        <w:rPr>
          <w:rStyle w:val="1069"/>
          <w:color w:val="auto"/>
          <w:sz w:val="28"/>
          <w:szCs w:val="28"/>
        </w:rPr>
      </w:pPr>
      <w:r>
        <w:rPr>
          <w:b/>
          <w:sz w:val="28"/>
          <w:szCs w:val="28"/>
        </w:rPr>
        <w:t xml:space="preserve">Рассмотрение вторых частей аукционных заявок осуществляется</w:t>
      </w:r>
      <w:r>
        <w:rPr>
          <w:sz w:val="28"/>
          <w:szCs w:val="28"/>
        </w:rPr>
        <w:t xml:space="preserve"> в 10:00 часов московского времени</w:t>
      </w:r>
      <w:r>
        <w:rPr>
          <w:b/>
          <w:sz w:val="28"/>
          <w:szCs w:val="28"/>
        </w:rPr>
        <w:t xml:space="preserve"> </w:t>
      </w:r>
      <w:r>
        <w:rPr>
          <w:rStyle w:val="1069"/>
          <w:b/>
          <w:i w:val="0"/>
          <w:color w:val="auto"/>
          <w:sz w:val="28"/>
          <w:szCs w:val="28"/>
        </w:rPr>
        <w:t xml:space="preserve">«</w:t>
      </w:r>
      <w:r>
        <w:rPr>
          <w:rStyle w:val="1069"/>
          <w:b/>
          <w:i w:val="0"/>
          <w:color w:val="auto"/>
          <w:sz w:val="28"/>
          <w:szCs w:val="28"/>
        </w:rPr>
        <w:t xml:space="preserve">0</w:t>
      </w:r>
      <w:r>
        <w:rPr>
          <w:rStyle w:val="1069"/>
          <w:b/>
          <w:i w:val="0"/>
          <w:color w:val="auto"/>
          <w:sz w:val="28"/>
          <w:szCs w:val="28"/>
        </w:rPr>
        <w:t xml:space="preserve">2</w:t>
      </w:r>
      <w:r>
        <w:rPr>
          <w:rStyle w:val="1069"/>
          <w:b/>
          <w:i w:val="0"/>
          <w:color w:val="auto"/>
          <w:sz w:val="28"/>
          <w:szCs w:val="28"/>
        </w:rPr>
        <w:t xml:space="preserve">» </w:t>
      </w:r>
      <w:r>
        <w:rPr>
          <w:rStyle w:val="1069"/>
          <w:b/>
          <w:i w:val="0"/>
          <w:color w:val="auto"/>
          <w:sz w:val="28"/>
          <w:szCs w:val="28"/>
        </w:rPr>
        <w:t xml:space="preserve">сентября</w:t>
      </w:r>
      <w:r>
        <w:rPr>
          <w:rStyle w:val="1069"/>
          <w:b/>
          <w:i w:val="0"/>
          <w:color w:val="auto"/>
          <w:sz w:val="28"/>
          <w:szCs w:val="28"/>
        </w:rPr>
        <w:t xml:space="preserve"> 202</w:t>
      </w:r>
      <w:r>
        <w:rPr>
          <w:rStyle w:val="1069"/>
          <w:b/>
          <w:i w:val="0"/>
          <w:color w:val="auto"/>
          <w:sz w:val="28"/>
          <w:szCs w:val="28"/>
        </w:rPr>
        <w:t xml:space="preserve">6</w:t>
      </w:r>
      <w:r>
        <w:rPr>
          <w:b/>
          <w:sz w:val="28"/>
          <w:szCs w:val="28"/>
        </w:rPr>
        <w:t xml:space="preserve"> года</w:t>
      </w:r>
      <w:r>
        <w:rPr>
          <w:rStyle w:val="1069"/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 xml:space="preserve">по адресу:</w:t>
      </w:r>
      <w:r>
        <w:rPr>
          <w:b/>
          <w:sz w:val="28"/>
          <w:szCs w:val="28"/>
        </w:rPr>
        <w:t xml:space="preserve"> </w:t>
      </w:r>
      <w:r>
        <w:rPr>
          <w:rStyle w:val="1069"/>
          <w:color w:val="auto"/>
          <w:sz w:val="28"/>
          <w:szCs w:val="28"/>
        </w:rPr>
        <w:t xml:space="preserve">г. Казань, ул.</w:t>
      </w:r>
      <w:r>
        <w:rPr>
          <w:rStyle w:val="1069"/>
          <w:b/>
          <w:color w:val="auto"/>
          <w:sz w:val="28"/>
          <w:szCs w:val="28"/>
        </w:rPr>
        <w:t xml:space="preserve"> </w:t>
      </w:r>
      <w:r>
        <w:rPr>
          <w:rStyle w:val="1069"/>
          <w:color w:val="auto"/>
          <w:sz w:val="28"/>
          <w:szCs w:val="28"/>
        </w:rPr>
        <w:t xml:space="preserve">Галиаскара Камала, д.11, </w:t>
      </w:r>
      <w:r>
        <w:rPr>
          <w:rStyle w:val="1069"/>
          <w:color w:val="auto"/>
          <w:sz w:val="28"/>
          <w:szCs w:val="28"/>
        </w:rPr>
        <w:t xml:space="preserve">каб</w:t>
      </w:r>
      <w:r>
        <w:rPr>
          <w:rStyle w:val="1069"/>
          <w:color w:val="auto"/>
          <w:sz w:val="28"/>
          <w:szCs w:val="28"/>
        </w:rPr>
        <w:t xml:space="preserve">. 301.</w:t>
      </w:r>
      <w:r>
        <w:rPr>
          <w:rStyle w:val="1069"/>
          <w:color w:val="auto"/>
          <w:sz w:val="28"/>
          <w:szCs w:val="28"/>
        </w:rPr>
      </w:r>
    </w:p>
    <w:p>
      <w:pPr>
        <w:pStyle w:val="1063"/>
        <w:ind w:firstLine="709"/>
        <w:jc w:val="both"/>
        <w:spacing w:before="0" w:after="0" w:line="240" w:lineRule="auto"/>
        <w:shd w:val="clear" w:color="auto" w:fill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Проведение аукциона осуществляется:</w:t>
      </w:r>
      <w:r>
        <w:rPr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Style w:val="1068"/>
          <w:rFonts w:eastAsiaTheme="minorHAnsi"/>
          <w:i w:val="0"/>
          <w:iCs w:val="0"/>
          <w:color w:val="auto"/>
          <w:sz w:val="28"/>
          <w:szCs w:val="28"/>
        </w:rPr>
      </w:pPr>
      <w:r>
        <w:rPr>
          <w:rStyle w:val="1069"/>
          <w:rFonts w:eastAsiaTheme="minorHAnsi"/>
          <w:b/>
          <w:i w:val="0"/>
          <w:color w:val="auto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09:00 часов московского времени</w:t>
      </w:r>
      <w:r>
        <w:rPr>
          <w:rStyle w:val="1069"/>
          <w:rFonts w:eastAsiaTheme="minorHAnsi"/>
          <w:b/>
          <w:i w:val="0"/>
          <w:color w:val="auto"/>
          <w:sz w:val="28"/>
          <w:szCs w:val="28"/>
        </w:rPr>
        <w:t xml:space="preserve"> «</w:t>
      </w:r>
      <w:r>
        <w:rPr>
          <w:rStyle w:val="1069"/>
          <w:rFonts w:eastAsiaTheme="minorHAnsi"/>
          <w:b/>
          <w:i w:val="0"/>
          <w:color w:val="auto"/>
          <w:sz w:val="28"/>
          <w:szCs w:val="28"/>
        </w:rPr>
        <w:t xml:space="preserve">0</w:t>
      </w:r>
      <w:r>
        <w:rPr>
          <w:rStyle w:val="1069"/>
          <w:rFonts w:eastAsiaTheme="minorHAnsi"/>
          <w:b/>
          <w:i w:val="0"/>
          <w:color w:val="auto"/>
          <w:sz w:val="28"/>
          <w:szCs w:val="28"/>
        </w:rPr>
        <w:t xml:space="preserve">1</w:t>
      </w:r>
      <w:r>
        <w:rPr>
          <w:rStyle w:val="1069"/>
          <w:rFonts w:eastAsiaTheme="minorHAnsi"/>
          <w:b/>
          <w:i w:val="0"/>
          <w:color w:val="auto"/>
          <w:sz w:val="28"/>
          <w:szCs w:val="28"/>
        </w:rPr>
        <w:t xml:space="preserve">» </w:t>
      </w:r>
      <w:r>
        <w:rPr>
          <w:rStyle w:val="1069"/>
          <w:rFonts w:eastAsiaTheme="minorHAnsi"/>
          <w:b/>
          <w:i w:val="0"/>
          <w:color w:val="auto"/>
          <w:sz w:val="28"/>
          <w:szCs w:val="28"/>
        </w:rPr>
        <w:t xml:space="preserve">сентября</w:t>
      </w:r>
      <w:r>
        <w:rPr>
          <w:rStyle w:val="1069"/>
          <w:rFonts w:eastAsiaTheme="minorHAnsi"/>
          <w:b/>
          <w:i w:val="0"/>
          <w:color w:val="auto"/>
          <w:sz w:val="28"/>
          <w:szCs w:val="28"/>
        </w:rPr>
        <w:t xml:space="preserve"> 202</w:t>
      </w:r>
      <w:r>
        <w:rPr>
          <w:rStyle w:val="1069"/>
          <w:rFonts w:eastAsiaTheme="minorHAnsi"/>
          <w:b/>
          <w:i w:val="0"/>
          <w:color w:val="auto"/>
          <w:sz w:val="28"/>
          <w:szCs w:val="28"/>
        </w:rPr>
        <w:t xml:space="preserve">6</w:t>
      </w:r>
      <w:r>
        <w:rPr>
          <w:rStyle w:val="1069"/>
          <w:rFonts w:eastAsiaTheme="minorHAnsi"/>
          <w:b/>
          <w:color w:val="auto"/>
          <w:sz w:val="28"/>
          <w:szCs w:val="28"/>
        </w:rPr>
        <w:t xml:space="preserve"> </w:t>
      </w:r>
      <w:r>
        <w:rPr>
          <w:rStyle w:val="1069"/>
          <w:rFonts w:eastAsiaTheme="minorHAnsi"/>
          <w:b/>
          <w:i w:val="0"/>
          <w:color w:val="auto"/>
          <w:sz w:val="28"/>
          <w:szCs w:val="28"/>
        </w:rPr>
        <w:t xml:space="preserve">года</w:t>
      </w:r>
      <w:r>
        <w:rPr>
          <w:rFonts w:ascii="Times New Roman" w:hAnsi="Times New Roman" w:cs="Times New Roman"/>
          <w:sz w:val="28"/>
          <w:szCs w:val="28"/>
        </w:rPr>
        <w:t xml:space="preserve"> на электронной площадке в электронной форме в личном </w:t>
      </w:r>
      <w:r>
        <w:rPr>
          <w:rStyle w:val="1068"/>
          <w:rFonts w:eastAsiaTheme="minorHAnsi"/>
          <w:i w:val="0"/>
          <w:iCs w:val="0"/>
          <w:color w:val="auto"/>
          <w:sz w:val="28"/>
          <w:szCs w:val="28"/>
        </w:rPr>
        <w:t xml:space="preserve">кабинете участника электронных процедур.</w:t>
      </w:r>
      <w:r>
        <w:rPr>
          <w:rStyle w:val="1068"/>
          <w:rFonts w:eastAsiaTheme="minorHAnsi"/>
          <w:i w:val="0"/>
          <w:iCs w:val="0"/>
          <w:color w:val="auto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Style w:val="1069"/>
          <w:rFonts w:eastAsiaTheme="minorHAnsi"/>
          <w:b/>
          <w:i w:val="0"/>
          <w:color w:val="auto"/>
          <w:sz w:val="28"/>
          <w:szCs w:val="28"/>
        </w:rPr>
      </w:pPr>
      <w:r>
        <w:rPr>
          <w:rStyle w:val="1068"/>
          <w:rFonts w:eastAsiaTheme="minorHAnsi"/>
          <w:b/>
          <w:i w:val="0"/>
          <w:iCs w:val="0"/>
          <w:color w:val="auto"/>
          <w:sz w:val="28"/>
          <w:szCs w:val="28"/>
        </w:rPr>
        <w:t xml:space="preserve">Итоги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аукциона в 10:00 часов московского времени </w:t>
      </w:r>
      <w:r>
        <w:rPr>
          <w:rStyle w:val="1069"/>
          <w:rFonts w:eastAsiaTheme="minorHAnsi"/>
          <w:b/>
          <w:i w:val="0"/>
          <w:color w:val="auto"/>
          <w:sz w:val="28"/>
          <w:szCs w:val="28"/>
        </w:rPr>
        <w:t xml:space="preserve">«</w:t>
      </w:r>
      <w:r>
        <w:rPr>
          <w:rStyle w:val="1069"/>
          <w:rFonts w:eastAsiaTheme="minorHAnsi"/>
          <w:b/>
          <w:i w:val="0"/>
          <w:color w:val="auto"/>
          <w:sz w:val="28"/>
          <w:szCs w:val="28"/>
        </w:rPr>
        <w:t xml:space="preserve">03</w:t>
      </w:r>
      <w:r>
        <w:rPr>
          <w:rStyle w:val="1069"/>
          <w:rFonts w:eastAsiaTheme="minorHAnsi"/>
          <w:b/>
          <w:i w:val="0"/>
          <w:color w:val="auto"/>
          <w:sz w:val="28"/>
          <w:szCs w:val="28"/>
        </w:rPr>
        <w:t xml:space="preserve">»</w:t>
      </w:r>
      <w:r>
        <w:rPr>
          <w:rStyle w:val="1069"/>
          <w:rFonts w:eastAsiaTheme="minorHAnsi"/>
          <w:b/>
          <w:i w:val="0"/>
          <w:color w:val="auto"/>
          <w:sz w:val="28"/>
          <w:szCs w:val="28"/>
        </w:rPr>
        <w:t xml:space="preserve"> </w:t>
      </w:r>
      <w:r>
        <w:rPr>
          <w:rStyle w:val="1069"/>
          <w:rFonts w:eastAsiaTheme="minorHAnsi"/>
          <w:b/>
          <w:i w:val="0"/>
          <w:color w:val="auto"/>
          <w:sz w:val="28"/>
          <w:szCs w:val="28"/>
        </w:rPr>
        <w:t xml:space="preserve">сентября</w:t>
      </w:r>
      <w:r>
        <w:rPr>
          <w:rStyle w:val="1069"/>
          <w:rFonts w:eastAsiaTheme="minorHAnsi"/>
          <w:b/>
          <w:i w:val="0"/>
          <w:color w:val="auto"/>
          <w:sz w:val="28"/>
          <w:szCs w:val="28"/>
        </w:rPr>
        <w:t xml:space="preserve"> 202</w:t>
      </w:r>
      <w:r>
        <w:rPr>
          <w:rStyle w:val="1069"/>
          <w:rFonts w:eastAsiaTheme="minorHAnsi"/>
          <w:b/>
          <w:i w:val="0"/>
          <w:color w:val="auto"/>
          <w:sz w:val="28"/>
          <w:szCs w:val="28"/>
        </w:rPr>
        <w:t xml:space="preserve">6</w:t>
      </w:r>
      <w:r>
        <w:rPr>
          <w:rStyle w:val="1069"/>
          <w:rFonts w:eastAsiaTheme="minorHAnsi"/>
          <w:b/>
          <w:color w:val="auto"/>
          <w:sz w:val="28"/>
          <w:szCs w:val="28"/>
        </w:rPr>
        <w:t xml:space="preserve"> </w:t>
      </w:r>
      <w:r>
        <w:rPr>
          <w:rStyle w:val="1069"/>
          <w:rFonts w:eastAsiaTheme="minorHAnsi"/>
          <w:b/>
          <w:i w:val="0"/>
          <w:color w:val="auto"/>
          <w:sz w:val="28"/>
          <w:szCs w:val="28"/>
        </w:rPr>
        <w:t xml:space="preserve">года.</w:t>
      </w:r>
      <w:r>
        <w:rPr>
          <w:rStyle w:val="1069"/>
          <w:rFonts w:eastAsiaTheme="minorHAnsi"/>
          <w:b/>
          <w:i w:val="0"/>
          <w:color w:val="auto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</w:p>
    <w:p>
      <w:pPr>
        <w:pStyle w:val="1065"/>
        <w:numPr>
          <w:ilvl w:val="1"/>
          <w:numId w:val="1"/>
        </w:numPr>
        <w:ind w:firstLine="709"/>
        <w:jc w:val="both"/>
        <w:spacing w:after="0" w:line="240" w:lineRule="auto"/>
        <w:shd w:val="clear" w:color="auto" w:fill="auto"/>
        <w:tabs>
          <w:tab w:val="left" w:pos="1499" w:leader="none"/>
        </w:tabs>
        <w:rPr>
          <w:sz w:val="28"/>
          <w:szCs w:val="28"/>
        </w:rPr>
        <w:outlineLvl w:val="9"/>
      </w:pPr>
      <w:r/>
      <w:bookmarkStart w:id="8" w:name="bookmark12"/>
      <w:r>
        <w:rPr>
          <w:sz w:val="28"/>
          <w:szCs w:val="28"/>
        </w:rPr>
        <w:t xml:space="preserve">Порядок направления запросов на разъяснение положений </w:t>
      </w:r>
      <w:r>
        <w:rPr>
          <w:sz w:val="28"/>
          <w:szCs w:val="28"/>
        </w:rPr>
        <w:t xml:space="preserve">аукционной документации и предоставления разъяснений положений аукционной документации</w:t>
      </w:r>
      <w:bookmarkEnd w:id="8"/>
      <w:r/>
      <w:r>
        <w:rPr>
          <w:sz w:val="28"/>
          <w:szCs w:val="28"/>
        </w:rPr>
      </w:r>
    </w:p>
    <w:p>
      <w:pPr>
        <w:pStyle w:val="1063"/>
        <w:ind w:firstLine="709"/>
        <w:jc w:val="both"/>
        <w:spacing w:before="0" w:after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пунктах 6.2.1-6.2.5 аукционной документации.</w:t>
      </w:r>
      <w:r>
        <w:rPr>
          <w:sz w:val="28"/>
          <w:szCs w:val="28"/>
        </w:rPr>
      </w:r>
    </w:p>
    <w:p>
      <w:pPr>
        <w:pStyle w:val="1063"/>
        <w:ind w:firstLine="709"/>
        <w:jc w:val="both"/>
        <w:spacing w:before="0" w:after="0" w:line="240" w:lineRule="auto"/>
        <w:shd w:val="clear" w:color="auto" w:fill="auto"/>
        <w:rPr>
          <w:b/>
          <w:sz w:val="28"/>
          <w:szCs w:val="28"/>
        </w:rPr>
      </w:pPr>
      <w:r>
        <w:rPr>
          <w:sz w:val="28"/>
          <w:szCs w:val="28"/>
        </w:rPr>
        <w:t xml:space="preserve">Срок </w:t>
      </w:r>
      <w:r>
        <w:rPr>
          <w:sz w:val="28"/>
          <w:szCs w:val="28"/>
        </w:rPr>
        <w:t xml:space="preserve">направления участниками запросов на разъяснение положений </w:t>
      </w:r>
      <w:r>
        <w:rPr>
          <w:b/>
          <w:sz w:val="28"/>
          <w:szCs w:val="28"/>
        </w:rPr>
        <w:t xml:space="preserve">аукционной документации: с «</w:t>
      </w:r>
      <w:r>
        <w:rPr>
          <w:b/>
          <w:sz w:val="28"/>
          <w:szCs w:val="28"/>
        </w:rPr>
        <w:t xml:space="preserve">14</w:t>
      </w:r>
      <w:r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августа 2026</w:t>
      </w:r>
      <w:r>
        <w:rPr>
          <w:b/>
          <w:sz w:val="28"/>
          <w:szCs w:val="28"/>
        </w:rPr>
        <w:t xml:space="preserve"> г. по «</w:t>
      </w:r>
      <w:r>
        <w:rPr>
          <w:b/>
          <w:sz w:val="28"/>
          <w:szCs w:val="28"/>
        </w:rPr>
        <w:t xml:space="preserve">25</w:t>
      </w:r>
      <w:r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августа</w:t>
      </w:r>
      <w:r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 xml:space="preserve">6</w:t>
      </w:r>
      <w:r>
        <w:rPr>
          <w:b/>
          <w:sz w:val="28"/>
          <w:szCs w:val="28"/>
        </w:rPr>
        <w:t xml:space="preserve"> г. (включительно).</w:t>
      </w:r>
      <w:r>
        <w:rPr>
          <w:b/>
          <w:sz w:val="28"/>
          <w:szCs w:val="28"/>
        </w:rPr>
      </w:r>
    </w:p>
    <w:p>
      <w:pPr>
        <w:pStyle w:val="1063"/>
        <w:ind w:firstLine="709"/>
        <w:jc w:val="both"/>
        <w:spacing w:before="0" w:after="0" w:line="240" w:lineRule="auto"/>
        <w:shd w:val="clear" w:color="auto" w:fill="auto"/>
        <w:tabs>
          <w:tab w:val="left" w:pos="5488" w:leader="underscor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Дата начала срока предоставления участникам разъяснений положений аукционной документации: «</w:t>
      </w:r>
      <w:r>
        <w:rPr>
          <w:b/>
          <w:sz w:val="28"/>
          <w:szCs w:val="28"/>
        </w:rPr>
        <w:t xml:space="preserve">14</w:t>
      </w:r>
      <w:r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августа </w:t>
      </w:r>
      <w:r>
        <w:rPr>
          <w:b/>
          <w:sz w:val="28"/>
          <w:szCs w:val="28"/>
        </w:rPr>
        <w:t xml:space="preserve">202</w:t>
      </w:r>
      <w:r>
        <w:rPr>
          <w:b/>
          <w:sz w:val="28"/>
          <w:szCs w:val="28"/>
        </w:rPr>
        <w:t xml:space="preserve">6</w:t>
      </w:r>
      <w:r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</w:r>
    </w:p>
    <w:p>
      <w:pPr>
        <w:pStyle w:val="1063"/>
        <w:ind w:firstLine="709"/>
        <w:jc w:val="both"/>
        <w:spacing w:before="0" w:after="0" w:line="240" w:lineRule="auto"/>
        <w:shd w:val="clear" w:color="auto" w:fill="auto"/>
        <w:tabs>
          <w:tab w:val="left" w:pos="6899" w:leader="underscor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Дата окончания срока предоставления участникам разъяснений положений аукционной документации: «</w:t>
      </w:r>
      <w:r>
        <w:rPr>
          <w:b/>
          <w:sz w:val="28"/>
          <w:szCs w:val="28"/>
        </w:rPr>
        <w:t xml:space="preserve">28</w:t>
      </w:r>
      <w:r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августа</w:t>
      </w:r>
      <w:r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 xml:space="preserve">6</w:t>
      </w:r>
      <w:r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</w:r>
    </w:p>
    <w:p>
      <w:pPr>
        <w:pStyle w:val="1063"/>
        <w:ind w:firstLine="709"/>
        <w:jc w:val="both"/>
        <w:spacing w:before="0" w:after="0" w:line="240" w:lineRule="auto"/>
        <w:tabs>
          <w:tab w:val="left" w:pos="6899" w:leader="underscore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</w:r>
    </w:p>
    <w:p>
      <w:pPr>
        <w:pStyle w:val="1063"/>
        <w:ind w:firstLine="709"/>
        <w:jc w:val="both"/>
        <w:spacing w:before="0" w:after="0" w:line="276" w:lineRule="auto"/>
        <w:tabs>
          <w:tab w:val="left" w:pos="6899" w:leader="underscor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</w:t>
      </w:r>
      <w:r>
        <w:rPr>
          <w:b/>
          <w:bCs/>
          <w:sz w:val="28"/>
          <w:szCs w:val="28"/>
        </w:rPr>
        <w:t xml:space="preserve">9</w:t>
      </w:r>
      <w:r>
        <w:rPr>
          <w:b/>
          <w:bCs/>
          <w:sz w:val="28"/>
          <w:szCs w:val="28"/>
        </w:rPr>
        <w:t xml:space="preserve">. Ограничение к допуску на участие в аукционе</w:t>
      </w:r>
      <w:r>
        <w:rPr>
          <w:b/>
          <w:bCs/>
          <w:sz w:val="28"/>
          <w:szCs w:val="28"/>
        </w:rPr>
      </w:r>
    </w:p>
    <w:p>
      <w:pPr>
        <w:pStyle w:val="1063"/>
        <w:ind w:firstLine="709"/>
        <w:jc w:val="both"/>
        <w:spacing w:before="0" w:after="0" w:line="240" w:lineRule="auto"/>
        <w:tabs>
          <w:tab w:val="left" w:pos="6899" w:leader="underscore"/>
        </w:tabs>
        <w:rPr>
          <w:sz w:val="28"/>
          <w:szCs w:val="28"/>
        </w:rPr>
      </w:pPr>
      <w:r>
        <w:rPr>
          <w:sz w:val="28"/>
          <w:szCs w:val="28"/>
        </w:rPr>
        <w:t xml:space="preserve">Не установлено</w:t>
      </w:r>
      <w:r>
        <w:rPr>
          <w:sz w:val="28"/>
          <w:szCs w:val="28"/>
        </w:rPr>
      </w:r>
    </w:p>
    <w:p>
      <w:pPr>
        <w:pStyle w:val="1063"/>
        <w:jc w:val="both"/>
        <w:spacing w:before="0" w:after="0" w:line="240" w:lineRule="auto"/>
        <w:tabs>
          <w:tab w:val="left" w:pos="6899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71"/>
        <w:numPr>
          <w:ilvl w:val="1"/>
          <w:numId w:val="0"/>
        </w:numPr>
        <w:contextualSpacing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1.10. Предоставление национального режима при осуществлении закупки: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не установлено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Условия предоставления национального режима при осуществлении закупки: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Вариант 1: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Установлен запрет закупок товаров</w:t>
      </w:r>
      <w:r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(в том числе поставляемых при выполнении закупаемых работ, оказании закупаемых услуг), происходящих из иностранных государств, </w:t>
      </w:r>
      <w:r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работ, услуг, соответственно выполняемых, оказываемых иностранными лицами.</w:t>
      </w:r>
      <w:r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позиций товаров (в том числе поставляемых при выполнении закупаемых работ, оказании закупаемых услуг), работ, услуг, в отношении которых установлен запрет закупок товаров</w:t>
      </w:r>
      <w:r>
        <w:rPr>
          <w:rFonts w:ascii="Times New Roman" w:hAnsi="Times New Roman" w:cs="Times New Roman"/>
          <w:sz w:val="28"/>
          <w:szCs w:val="28"/>
        </w:rPr>
        <w:t xml:space="preserve">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указан в техническом задании закупочной документации.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Вариант 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Установлено ограничение закупок товаров</w:t>
      </w:r>
      <w:r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(в том числе поставляемых при выполнении закупаемых работ, оказании закупаемых услуг), происходящих из иностранных государств, </w:t>
      </w:r>
      <w:r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работ, услуг</w:t>
      </w:r>
      <w:r>
        <w:rPr>
          <w:rFonts w:ascii="Times New Roman" w:hAnsi="Times New Roman" w:cs="Times New Roman"/>
          <w:sz w:val="28"/>
          <w:szCs w:val="28"/>
        </w:rPr>
        <w:t xml:space="preserve">, соответственно выполняемых, оказываемых иностранными лицами.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позиций товаров (в том числе поставляемых при выполнении закупаемых работ, оказании закупаемых услуг),  в отношении которых установлено ограничение закупок товаров (в том числе поставляемых при выполнении закупаемых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работ, оказании закупаемых услуг), происходящих из иностранных государств, работ, услуг, соответственно выполняемых, оказываемых иностранными лицами, указан в техническом задании закупочной документации.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Вариант 3: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Установлено преимущество в отношении товаров</w:t>
      </w:r>
      <w:r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российского происхождения (в том числе поставляемых при выполнении закупаемых работ, оказании закупаемых услуг), в связи с тем, что: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Осуществляется закупка товаров, не указанных в приложении № 1 и приложении № 2 к постановлению Правительства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 от 23 декабря 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лиц.».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позиций товаров (в том числе поставляемых при выполнении закупаемых работ, оказании закупаемых услуг), в отношении которых установлено преимущество, указан в техническом задании закупочной документации.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Вариант 4: </w:t>
      </w:r>
      <w:r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Установлены запрет и/или ограничение и/или преимущество</w:t>
      </w:r>
      <w:r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позиций товаров (в том числе поставляемых при выполнении закупаемых работ, оказании закупаемых услуг), работ, услуг, в отношении которых установлен запрет и/или ограничение и/или преимущество закупок товаров</w:t>
      </w:r>
      <w:r>
        <w:rPr>
          <w:rFonts w:ascii="Times New Roman" w:hAnsi="Times New Roman" w:cs="Times New Roman"/>
          <w:sz w:val="28"/>
          <w:szCs w:val="28"/>
        </w:rPr>
        <w:t xml:space="preserve">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указан в техническом задании закупочной документации.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Вариант 5: не применяется 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тем, что: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закупаемым товарам (в том числе поставляемых при выполнении закупаемых работ, оказании закупаемых услуг), работам, услугам применимо исключение в отношении запрета и ограничения, указанное в пункте 5 или 6 постановления Правительства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 от 23 декабря 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осуществляется закупка работ, услуг не указанных в приложении № 1 и приложении № 2 к постановлению Правительства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 от 23 декабря 2024 г. № 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применения требований о предоставлении национального режима при осуществлении закупки указан в пункте 1.10.1 </w:t>
      </w:r>
      <w:r>
        <w:rPr>
          <w:rFonts w:ascii="Times New Roman" w:hAnsi="Times New Roman" w:cs="Times New Roman"/>
          <w:bCs/>
          <w:sz w:val="28"/>
          <w:szCs w:val="28"/>
        </w:rPr>
        <w:t xml:space="preserve">документации о закупке.</w:t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1.10.1. Порядок применения требований о предоставлении национального режима при осуществлении закупки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1.10.1.1.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Требования данного пункта  документации  применяются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если извещением и документацией</w:t>
      </w:r>
      <w:r>
        <w:rPr>
          <w:rFonts w:ascii="Times New Roman" w:hAnsi="Times New Roman" w:cs="Times New Roman"/>
          <w:sz w:val="28"/>
          <w:szCs w:val="28"/>
        </w:rPr>
        <w:t xml:space="preserve"> о проведении закупки в соответствии со статьями 3 и 3.1-4 Федерального закона «О закупках товаров, работ, услуг отдельными видами юридических лиц» с учетом особенностей, установленных постановлением Правительства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 от 23 декабря 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предусмотрено условие о предоставлении национального режима при осуществлении закупки.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1.10.1.2.</w:t>
      </w:r>
      <w:r>
        <w:rPr>
          <w:rFonts w:ascii="Times New Roman" w:hAnsi="Times New Roman" w:cs="Times New Roman"/>
          <w:sz w:val="28"/>
          <w:szCs w:val="28"/>
        </w:rPr>
        <w:t xml:space="preserve"> При осуществлении закупки предоставляется национальный режим, обеспечивающий происходящему из иностранного государства или группы иностранных государств (далее – иностранное государство) товару, работе, услуге, соответственно выполняемой, оказываемой инос</w:t>
      </w:r>
      <w:r>
        <w:rPr>
          <w:rFonts w:ascii="Times New Roman" w:hAnsi="Times New Roman" w:cs="Times New Roman"/>
          <w:sz w:val="28"/>
          <w:szCs w:val="28"/>
        </w:rPr>
        <w:t xml:space="preserve">транным гражданином или иностранным юридическим лицом (далее – иностранное лицо), равные условия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(далее –</w:t>
      </w:r>
      <w:r>
        <w:rPr>
          <w:rFonts w:ascii="Times New Roman" w:hAnsi="Times New Roman" w:cs="Times New Roman"/>
          <w:sz w:val="28"/>
          <w:szCs w:val="28"/>
        </w:rPr>
        <w:t xml:space="preserve"> российское лицо), за исключением случаев принятия Правительством Российской Федерации мер, предусмотренных пунктом 1 части 2 статьи 3.1-4 Федерального закона от 18 июля 2011 г. № 223-ФЗ «О закупках товаров, работ, услуг отдельными видами юридических лиц».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1.10.1.3. При закупке товара: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1)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если </w:t>
      </w:r>
      <w:r>
        <w:rPr>
          <w:rFonts w:ascii="Times New Roman" w:hAnsi="Times New Roman" w:cs="Times New Roman"/>
          <w:sz w:val="28"/>
          <w:szCs w:val="28"/>
        </w:rPr>
        <w:t xml:space="preserve">Правительством Российской Федерации в соответствии с пунктом 1 части 2 статьи 3.1-4 Федерального закона от 18 июля 2011 г. № 223-ФЗ «О закупках товаров, работ, услуг отдельными видами юридических лиц»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установлен запрет</w:t>
      </w:r>
      <w:r>
        <w:rPr>
          <w:rFonts w:ascii="Times New Roman" w:hAnsi="Times New Roman" w:cs="Times New Roman"/>
          <w:sz w:val="28"/>
          <w:szCs w:val="28"/>
        </w:rPr>
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не допускаются: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заключение договора на поставку такого товара;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при исполнении договора замена такого товара на происходящий из иностранного государства товар, в отношении которого установлен данный запрет;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sz w:val="28"/>
          <w:szCs w:val="28"/>
        </w:rPr>
        <w:t xml:space="preserve">Правительством Российской Федерации в соответствии с пунктом 1 части 2 статьи 3.1-4 Федерального закона от 18 июля 2011 г. № 223-ФЗ «О </w:t>
      </w:r>
      <w:r>
        <w:rPr>
          <w:rFonts w:ascii="Times New Roman" w:hAnsi="Times New Roman" w:cs="Times New Roman"/>
          <w:sz w:val="28"/>
          <w:szCs w:val="28"/>
        </w:rPr>
        <w:t xml:space="preserve">закупках товаров, работ, услуг отдельными видами юридических лиц»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установлено ограничение</w:t>
      </w:r>
      <w:r>
        <w:rPr>
          <w:rFonts w:ascii="Times New Roman" w:hAnsi="Times New Roman" w:cs="Times New Roman"/>
          <w:sz w:val="28"/>
          <w:szCs w:val="28"/>
        </w:rPr>
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не допускаются: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заключение договора на поставку товара, происходящего из иностр</w:t>
      </w:r>
      <w:r>
        <w:rPr>
          <w:rFonts w:ascii="Times New Roman" w:hAnsi="Times New Roman" w:cs="Times New Roman"/>
          <w:sz w:val="28"/>
          <w:szCs w:val="28"/>
        </w:rPr>
        <w:t xml:space="preserve">анного государства, если подана заявка на участие в закупке, признанная по результатам ее рассмотрения соответствующей требованиям положения о закупке, извещения об осуществлении закупки и содержащие предложения о поставке товара российского происхождения;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при исполнении договора замена товара на происходящий из иностранного государства товар, в отношении которого установлено данное ограничение, если договор предусматривает поставку товара российского происхождения;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если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Правительством Российской Федерации в соответствии с пунктом 1 части 2 статьи 3.1-4 Федерального закона от 18 июля 2011 г. № 223-ФЗ «О закупках товаров, работ, услуг отдельными видами юридических лиц»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установлено преимущество</w:t>
      </w:r>
      <w:r>
        <w:rPr>
          <w:rFonts w:ascii="Times New Roman" w:hAnsi="Times New Roman" w:cs="Times New Roman"/>
          <w:sz w:val="28"/>
          <w:szCs w:val="28"/>
        </w:rPr>
        <w:t xml:space="preserve"> в отношении товаров российского происхождения (в том числе поставляемых при выполнении закупаемых работ, оказании закупаемых услуг):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при рассмотрении, сопоставлении заявок осуществляется снижение на 15 процентов ценового предложения, поданн</w:t>
      </w:r>
      <w:r>
        <w:rPr>
          <w:rFonts w:ascii="Times New Roman" w:hAnsi="Times New Roman" w:cs="Times New Roman"/>
          <w:sz w:val="28"/>
          <w:szCs w:val="28"/>
        </w:rPr>
        <w:t xml:space="preserve">ого участником закупки, предлагающим к поставке товар только российского происхождения, либо увеличение на 15 процентов ценового предложения этого участника закупки в случае подачи им предложения о размере платы, подлежащей внесению за заключение договора;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</w:t>
      </w:r>
      <w:r>
        <w:rPr>
          <w:rFonts w:ascii="Times New Roman" w:hAnsi="Times New Roman" w:cs="Times New Roman"/>
          <w:sz w:val="28"/>
          <w:szCs w:val="28"/>
        </w:rPr>
        <w:t xml:space="preserve"> случае заключения договора с участником закупки, предлагающим к поставке товар только российского происхождения, договор заключается без учета снижения либо увеличения ценового предложения, осуществленных в соответствии с подпунктом «а» настоящего пункта;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при исполнении договора допускается замена товара исключительно на товар российского происхождения, если договор предусматривает поставку товара российского происхождения.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1.10.1.4. При закупке работы, услуги: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если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Правительством Российской Федерации в соответствии с пунктом 1 части 2 статьи 3.1-4 Федерального закона от 18 июля 2011 г. № 223-ФЗ «О закупках товаров, работ, услуг отдельными видами юридических лиц»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установлен запрет</w:t>
      </w:r>
      <w:r>
        <w:rPr>
          <w:rFonts w:ascii="Times New Roman" w:hAnsi="Times New Roman" w:cs="Times New Roman"/>
          <w:sz w:val="28"/>
          <w:szCs w:val="28"/>
        </w:rPr>
        <w:t xml:space="preserve"> закупки работы, услуги, выполняемой, оказываемой иностранным лицом, не допускаются: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заключение договора на выполнение такой работы, оказание такой услуги с подрядчиком (исполнителем), являющимся иностранным лицом;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перемена подрядчика (</w:t>
      </w:r>
      <w:r>
        <w:rPr>
          <w:rFonts w:ascii="Times New Roman" w:hAnsi="Times New Roman" w:cs="Times New Roman"/>
          <w:sz w:val="28"/>
          <w:szCs w:val="28"/>
        </w:rPr>
        <w:t xml:space="preserve">исполнителя) (в случае, если эта перемена допускается гражданским законодательством), с которым заключен указанный договор, на иностранное лицо, которое зарегистрировано на территории иностранного государства, в отношении которого установлен данный запрет;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sz w:val="28"/>
          <w:szCs w:val="28"/>
        </w:rPr>
        <w:t xml:space="preserve">Правительством Российской Федерации в соответствии с пунктом 1 части 2 статьи 3.1-4 Федерального закона от 18 июля 2011 г. № 223-ФЗ «О закупках товаров, работ, услуг отдельными видами юридических лиц»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установлено ограничение</w:t>
      </w:r>
      <w:r>
        <w:rPr>
          <w:rFonts w:ascii="Times New Roman" w:hAnsi="Times New Roman" w:cs="Times New Roman"/>
          <w:sz w:val="28"/>
          <w:szCs w:val="28"/>
        </w:rPr>
        <w:t xml:space="preserve"> закупки работы, услуги, соответственно выполняемой, оказываемой иностранным лицом,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не допускаются: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 xml:space="preserve">заключение договора с участником закупки, являющимся иностранным лицом, если российским лицом подана заявка на участие в закупке, признанная по результатам ее рассмотрения соответствующей требованиям положения о закупке, извещения об осуществлении закупки;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перемена подрядчика (и</w:t>
      </w:r>
      <w:r>
        <w:rPr>
          <w:rFonts w:ascii="Times New Roman" w:hAnsi="Times New Roman" w:cs="Times New Roman"/>
          <w:sz w:val="28"/>
          <w:szCs w:val="28"/>
        </w:rPr>
        <w:t xml:space="preserve">сполнителя) (в случае, если эта перемена допускается гражданским законодательством), с которым заключен договор, на иностранное лицо, которое зарегистрировано на территории иностранного государства, в отношении которого установлено данное ограничение, если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договор заключен с российским лицом;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3) если </w:t>
      </w:r>
      <w:r>
        <w:rPr>
          <w:rFonts w:ascii="Times New Roman" w:hAnsi="Times New Roman" w:cs="Times New Roman"/>
          <w:sz w:val="28"/>
          <w:szCs w:val="28"/>
        </w:rPr>
        <w:t xml:space="preserve">Правительством Российской Федерации в соответствии с пунктом 1 части 2 статьи 3.1-4 Федерального закона от 18 июля 2011 г. № 223-ФЗ «О закупках товаров, работ, услуг отдельными видами юридических лиц»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установлено преимущество</w:t>
      </w:r>
      <w:r>
        <w:rPr>
          <w:rFonts w:ascii="Times New Roman" w:hAnsi="Times New Roman" w:cs="Times New Roman"/>
          <w:sz w:val="28"/>
          <w:szCs w:val="28"/>
        </w:rPr>
        <w:t xml:space="preserve"> в отношении работы, услуги, соответственно выполняемой, оказываемой российским лицом: а) при рассмотрении, оценке, сопоставлении заявок на участие в закупке, осуществляется снижение на 15</w:t>
      </w:r>
      <w:r>
        <w:rPr>
          <w:rFonts w:ascii="Times New Roman" w:hAnsi="Times New Roman" w:cs="Times New Roman"/>
          <w:sz w:val="28"/>
          <w:szCs w:val="28"/>
        </w:rPr>
        <w:t xml:space="preserve"> процентов ценового предложения участником закупки, являющимся российским лицом, либо увеличение на 15 процентов ценового предложения этого участника закупки в случае подачи им предложения о размере платы, подлежащей внесению за заключение с ним договора;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 случае заключения договора с участником закупки, являющимся российским лицом, договор заключается без учета снижения либо увеличения ценового предложения, осуществленных в соответствии с подпунктом «а» настоящего пункта;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перемена подрядчика (исполнителя) (в случае, если эта перемена допускается гражданским законодательством), с которым заключен договор, допускается исключительно на российское лицо, если договор заключен с российским лицом.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1.10.1.5. Информацией и документами, подтверждающими страну происхождения товара для целей предоставления национального режима при осуществлении закупки являются информация и документы, определенные в </w:t>
      </w:r>
      <w:r>
        <w:rPr>
          <w:rFonts w:ascii="Times New Roman" w:hAnsi="Times New Roman" w:cs="Times New Roman"/>
          <w:sz w:val="28"/>
          <w:szCs w:val="28"/>
        </w:rPr>
        <w:t xml:space="preserve">пункте 3 постановления Правительства Российской Федерации от 23 декабря 2024 г. № 1875 «О мерах по предоставлению национального режима при о</w:t>
      </w:r>
      <w:r>
        <w:rPr>
          <w:rFonts w:ascii="Times New Roman" w:hAnsi="Times New Roman" w:cs="Times New Roman"/>
          <w:sz w:val="28"/>
          <w:szCs w:val="28"/>
        </w:rPr>
        <w:t xml:space="preserve">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лиц, об изменении и признании утратившими силу некоторых актов Правительства Российской Федерации».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срок действия реестровой записи истек после подачи заявки и до заключения договора, то победитель (уча</w:t>
      </w:r>
      <w:r>
        <w:rPr>
          <w:rFonts w:ascii="Times New Roman" w:hAnsi="Times New Roman" w:cs="Times New Roman"/>
          <w:sz w:val="28"/>
          <w:szCs w:val="28"/>
        </w:rPr>
        <w:t xml:space="preserve">стник, с которым заключается договор) обязан предоставить одновременно с проектом договора, подписанным победителем (участником, с которым заключается договор) сведения о действующей на момент заключения договора реестровой записи на товар, работу, услугу.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не</w:t>
      </w:r>
      <w:r>
        <w:rPr>
          <w:rFonts w:ascii="Times New Roman" w:hAnsi="Times New Roman" w:cs="Times New Roman"/>
          <w:sz w:val="28"/>
          <w:szCs w:val="28"/>
        </w:rPr>
        <w:t xml:space="preserve">представления одновременно с проектом договора, подписанным победителем (участником, с которым заключается договор) сведений, указанных в настоящем пункте, победитель (участник, с которым заключается договор) признается уклонившимся от заключения договора.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1.10.1.6. Положения закупочной документации, касающиеся предоставления национального режима товарам российского происхождения, работам, услугам, соответственно выполняемым, оказываемым российским гражданином, российским юридическим лицом, применяются та</w:t>
      </w:r>
      <w:r>
        <w:rPr>
          <w:rFonts w:ascii="Times New Roman" w:hAnsi="Times New Roman" w:cs="Times New Roman"/>
          <w:sz w:val="28"/>
          <w:szCs w:val="28"/>
        </w:rPr>
        <w:t xml:space="preserve">кже в отношении товара, происходящего из государства члена Евразийского экономического союза, работы, услуги, соответственно выполняемой, оказываемой иностранным лицом, зарегистрированным на территории государства – члена Евразийского экономического союза.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1.10.1.7. Если объект закупки (предмет закупки) включает хотя бы один товар, не указанный в приложении № 1 и приложении № 2 к постановлению Правительства Российской Федерации от 23 декабря 2024</w:t>
      </w:r>
      <w:r>
        <w:rPr>
          <w:rFonts w:ascii="Times New Roman" w:hAnsi="Times New Roman" w:cs="Times New Roman"/>
          <w:sz w:val="28"/>
          <w:szCs w:val="28"/>
        </w:rPr>
        <w:t xml:space="preserve"> г. № 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лиц, об изменении и признании утра</w:t>
      </w:r>
      <w:r>
        <w:rPr>
          <w:rFonts w:ascii="Times New Roman" w:hAnsi="Times New Roman" w:cs="Times New Roman"/>
          <w:sz w:val="28"/>
          <w:szCs w:val="28"/>
        </w:rPr>
        <w:t xml:space="preserve">тившими силу некоторых актов Правительства Российской Федерации», в отношении заявки, содержащей предложение о поставке товаров (в том числе поставляемых при выполнении закупаемых работ, оказании закупаемых услуг) только российского происхождения, применяе</w:t>
      </w:r>
      <w:r>
        <w:rPr>
          <w:rFonts w:ascii="Times New Roman" w:hAnsi="Times New Roman" w:cs="Times New Roman"/>
          <w:sz w:val="28"/>
          <w:szCs w:val="28"/>
        </w:rPr>
        <w:t xml:space="preserve">тся национальный режим в виде преимущества в отношении товаров российского происхождения (в том числе поставляемых при выполнении закупаемых работ, оказании закупаемых услуг), при условии, что в числе заявок на участие в закупке имеется заявка, которая не </w:t>
      </w:r>
      <w:r>
        <w:rPr>
          <w:rFonts w:ascii="Times New Roman" w:hAnsi="Times New Roman" w:cs="Times New Roman"/>
          <w:sz w:val="28"/>
          <w:szCs w:val="28"/>
        </w:rPr>
        <w:t xml:space="preserve">отклонена и содержит предложение о поставке хотя бы одного товара, происходящего из иностранного государства.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1.10.1.8. Допускается включать в один объект закупки (предмет</w:t>
      </w:r>
      <w:r>
        <w:rPr>
          <w:rFonts w:ascii="Times New Roman" w:hAnsi="Times New Roman" w:cs="Times New Roman"/>
          <w:sz w:val="28"/>
          <w:szCs w:val="28"/>
        </w:rPr>
        <w:t xml:space="preserve"> закупки) товары, работы, услуги, как указанные в перечне № 1 и перечне № 2 к постановлению Правительства Российской Федерации от 23 декабря 2024 г. № 1875 «О мерах по предоставлению национального режима при осуществлении закупок товаров, работ, услуг для </w:t>
      </w:r>
      <w:r>
        <w:rPr>
          <w:rFonts w:ascii="Times New Roman" w:hAnsi="Times New Roman" w:cs="Times New Roman"/>
          <w:sz w:val="28"/>
          <w:szCs w:val="28"/>
        </w:rPr>
        <w:t xml:space="preserve">обеспечения государственных и муниципальных нужд, закупок товаров, работ, услуг отдельными видами юридических лиц, об изменении и признании утратившими силу некоторых актов Правительства Российской Федерации», так и не указанные в таких перечнях, при этом: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включенным в объект закупки товарам, работам, услугам, указанным в перечне № 1 к указанному постановлению Правительства Российс</w:t>
      </w:r>
      <w:r>
        <w:rPr>
          <w:rFonts w:ascii="Times New Roman" w:hAnsi="Times New Roman" w:cs="Times New Roman"/>
          <w:sz w:val="28"/>
          <w:szCs w:val="28"/>
        </w:rPr>
        <w:t xml:space="preserve">кой Федерации, применяются положения документации о закупке, касающиеся запрета закупок товаров (в том числе поставляемых при выполнении закупаемых работ, оказании закупаемых услуг), работ, услуг соответственно выполняемых, оказываемых иностранными лицами;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включенным в объект закупки товарам, работам, услугам, указанным в перечне № 2 к указанному постановлению Правительства Российской </w:t>
      </w:r>
      <w:r>
        <w:rPr>
          <w:rFonts w:ascii="Times New Roman" w:hAnsi="Times New Roman" w:cs="Times New Roman"/>
          <w:sz w:val="28"/>
          <w:szCs w:val="28"/>
        </w:rPr>
        <w:t xml:space="preserve">Федерации, применяются положения документации о закупке, касающиеся ограничения закупок товаров (в том числе поставляемых при выполнении закупаемых работ, оказании закупаемых услуг), работ, услуг соответственно выполняемых, оказываемых иностранными лицами;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включенным в объект закупки товарам, не указанным в перечне № 1 и перечне №</w:t>
      </w:r>
      <w:r>
        <w:rPr>
          <w:rFonts w:ascii="Times New Roman" w:hAnsi="Times New Roman" w:cs="Times New Roman"/>
          <w:sz w:val="28"/>
          <w:szCs w:val="28"/>
        </w:rPr>
        <w:t xml:space="preserve"> 2 к указанному постановлению Правительства Российской Федерации, применяются положения документации о закупке, касающиеся преимущества товаров российского происхождения (в том числе поставляемых при выполнении закупаемых работ, оказании закупаемых услуг);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преимущество товаров российского прои</w:t>
      </w:r>
      <w:r>
        <w:rPr>
          <w:rFonts w:ascii="Times New Roman" w:hAnsi="Times New Roman" w:cs="Times New Roman"/>
          <w:sz w:val="28"/>
          <w:szCs w:val="28"/>
        </w:rPr>
        <w:t xml:space="preserve">схождения (в том числе поставляемых при выполнении закупаемых работ, оказании закупаемых услуг), предоставляется заявке на участие в закупке, которая содержит предложение о поставке товара (в том числе поставляемого при выполнении закупаемых работ, оказани</w:t>
      </w:r>
      <w:r>
        <w:rPr>
          <w:rFonts w:ascii="Times New Roman" w:hAnsi="Times New Roman" w:cs="Times New Roman"/>
          <w:sz w:val="28"/>
          <w:szCs w:val="28"/>
        </w:rPr>
        <w:t xml:space="preserve">и закупаемых услуг) только российского происхождения, как в отношении включенных в объект закупки (предмет закупки) товаров, не указанных в приложении № 1 и приложении № 2 к указанному постановлению Правительства Российской Федерации, так и включенных в об</w:t>
      </w:r>
      <w:r>
        <w:rPr>
          <w:rFonts w:ascii="Times New Roman" w:hAnsi="Times New Roman" w:cs="Times New Roman"/>
          <w:sz w:val="28"/>
          <w:szCs w:val="28"/>
        </w:rPr>
        <w:t xml:space="preserve">ъект закупки (предмет закупки) товаров, указанных в таких перечнях при условии, что в числе заявок на участие в закупке имеется заявка, которая не отклонена и содержит предложение о поставке хотя бы одного товара, происходящего из иностранного государства.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63"/>
        <w:ind w:firstLine="709"/>
        <w:jc w:val="both"/>
        <w:spacing w:before="0" w:after="0" w:line="240" w:lineRule="auto"/>
        <w:tabs>
          <w:tab w:val="left" w:pos="6899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63"/>
        <w:ind w:firstLine="709"/>
        <w:jc w:val="both"/>
        <w:spacing w:before="0" w:after="0" w:line="240" w:lineRule="auto"/>
        <w:tabs>
          <w:tab w:val="left" w:pos="6899" w:leader="underscor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Квалификационные требования к участникам аукциона</w:t>
      </w:r>
      <w:r>
        <w:rPr>
          <w:b/>
          <w:sz w:val="28"/>
          <w:szCs w:val="28"/>
        </w:rPr>
      </w:r>
    </w:p>
    <w:p>
      <w:pPr>
        <w:pStyle w:val="1109"/>
        <w:ind w:firstLine="709"/>
        <w:spacing w:after="0" w:line="240" w:lineRule="auto"/>
        <w:tabs>
          <w:tab w:val="left" w:pos="1080" w:leader="none"/>
        </w:tabs>
        <w:rPr>
          <w:color w:val="000000"/>
          <w:szCs w:val="28"/>
        </w:rPr>
      </w:pPr>
      <w:r/>
      <w:bookmarkStart w:id="9" w:name="bookmark14"/>
      <w:r>
        <w:rPr>
          <w:color w:val="000000"/>
          <w:szCs w:val="28"/>
        </w:rPr>
        <w:t xml:space="preserve">Не предусмотрены</w:t>
      </w:r>
      <w:r>
        <w:rPr>
          <w:color w:val="000000"/>
          <w:szCs w:val="28"/>
        </w:rPr>
        <w:t xml:space="preserve">.</w:t>
      </w:r>
      <w:r>
        <w:rPr>
          <w:color w:val="000000"/>
          <w:szCs w:val="28"/>
        </w:rPr>
      </w:r>
    </w:p>
    <w:p>
      <w:pPr>
        <w:pStyle w:val="1109"/>
        <w:ind w:left="720" w:firstLine="0"/>
        <w:spacing w:after="0" w:line="240" w:lineRule="auto"/>
        <w:tabs>
          <w:tab w:val="left" w:pos="1080" w:leader="none"/>
        </w:tabs>
        <w:rPr>
          <w:color w:val="000000"/>
          <w:szCs w:val="28"/>
        </w:rPr>
      </w:pP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pStyle w:val="1109"/>
        <w:numPr>
          <w:ilvl w:val="0"/>
          <w:numId w:val="34"/>
        </w:numPr>
        <w:ind w:left="0" w:firstLine="709"/>
        <w:spacing w:after="0" w:line="240" w:lineRule="auto"/>
        <w:tabs>
          <w:tab w:val="left" w:pos="1080" w:leader="none"/>
        </w:tabs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Техническое задание </w:t>
      </w:r>
      <w:r>
        <w:rPr>
          <w:b/>
          <w:bCs/>
          <w:color w:val="000000"/>
          <w:szCs w:val="28"/>
        </w:rPr>
      </w:r>
    </w:p>
    <w:p>
      <w:pPr>
        <w:pStyle w:val="1109"/>
        <w:ind w:firstLine="709"/>
        <w:spacing w:after="0" w:line="240" w:lineRule="auto"/>
        <w:tabs>
          <w:tab w:val="left" w:pos="1080" w:leader="none"/>
        </w:tabs>
        <w:rPr>
          <w:color w:val="000000"/>
          <w:szCs w:val="28"/>
        </w:rPr>
      </w:pPr>
      <w:r>
        <w:rPr>
          <w:b/>
          <w:bCs/>
        </w:rPr>
        <w:t xml:space="preserve">Объем предоставляемых услуг, требования к услугам, функциональные характеристики, место оказания услуг, сроки оказания </w:t>
      </w:r>
      <w:r>
        <w:rPr>
          <w:b/>
          <w:bCs/>
        </w:rPr>
        <w:t xml:space="preserve">услуг </w:t>
      </w:r>
      <w:r>
        <w:rPr>
          <w:color w:val="000000"/>
          <w:szCs w:val="28"/>
        </w:rPr>
        <w:t xml:space="preserve">указаны в </w:t>
      </w:r>
      <w:r>
        <w:rPr>
          <w:color w:val="000000"/>
          <w:szCs w:val="28"/>
        </w:rPr>
        <w:t xml:space="preserve">Приложении № </w:t>
      </w:r>
      <w:r>
        <w:rPr>
          <w:color w:val="000000"/>
          <w:szCs w:val="28"/>
        </w:rPr>
        <w:t xml:space="preserve">7 </w:t>
      </w:r>
      <w:r>
        <w:rPr>
          <w:color w:val="000000"/>
          <w:szCs w:val="28"/>
        </w:rPr>
        <w:t xml:space="preserve">к аукционной документации.</w:t>
      </w:r>
      <w:r>
        <w:rPr>
          <w:color w:val="000000"/>
          <w:szCs w:val="28"/>
        </w:rPr>
      </w:r>
    </w:p>
    <w:p>
      <w:pPr>
        <w:pStyle w:val="1109"/>
        <w:ind w:firstLine="709"/>
        <w:spacing w:after="0" w:line="240" w:lineRule="auto"/>
        <w:tabs>
          <w:tab w:val="left" w:pos="1080" w:leader="none"/>
        </w:tabs>
        <w:rPr>
          <w:color w:val="000000"/>
          <w:szCs w:val="28"/>
        </w:rPr>
      </w:pP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pStyle w:val="1109"/>
        <w:ind w:left="720" w:firstLine="0"/>
        <w:spacing w:after="0" w:line="240" w:lineRule="auto"/>
        <w:tabs>
          <w:tab w:val="left" w:pos="1080" w:leader="none"/>
        </w:tabs>
        <w:rPr>
          <w:color w:val="000000"/>
          <w:szCs w:val="28"/>
        </w:rPr>
        <w:sectPr>
          <w:footnotePr/>
          <w:endnotePr/>
          <w:type w:val="nextPage"/>
          <w:pgSz w:w="11906" w:h="16838" w:orient="portrait"/>
          <w:pgMar w:top="1134" w:right="851" w:bottom="1134" w:left="1134" w:header="794" w:footer="794" w:gutter="0"/>
          <w:cols w:num="1" w:sep="0" w:space="708" w:equalWidth="1"/>
          <w:docGrid w:linePitch="360"/>
          <w:titlePg/>
        </w:sectPr>
      </w:pP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pStyle w:val="1109"/>
        <w:ind w:left="1440" w:firstLine="0"/>
        <w:spacing w:after="0" w:line="240" w:lineRule="auto"/>
        <w:tabs>
          <w:tab w:val="left" w:pos="1080" w:leader="none"/>
        </w:tabs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</w:r>
      <w:r>
        <w:rPr>
          <w:b/>
          <w:bCs/>
          <w:color w:val="000000"/>
          <w:szCs w:val="28"/>
        </w:rPr>
      </w:r>
    </w:p>
    <w:p>
      <w:pPr>
        <w:pStyle w:val="1109"/>
        <w:numPr>
          <w:ilvl w:val="1"/>
          <w:numId w:val="34"/>
        </w:numPr>
        <w:spacing w:after="0" w:line="240" w:lineRule="auto"/>
        <w:tabs>
          <w:tab w:val="left" w:pos="1080" w:leader="none"/>
        </w:tabs>
        <w:rPr>
          <w:color w:val="000000"/>
          <w:szCs w:val="28"/>
        </w:rPr>
      </w:pPr>
      <w:r>
        <w:rPr>
          <w:b/>
          <w:color w:val="000000"/>
          <w:szCs w:val="28"/>
        </w:rPr>
        <w:t xml:space="preserve">Обоснование начальной (максимальная) цены договора:</w:t>
      </w:r>
      <w:r>
        <w:rPr>
          <w:color w:val="000000"/>
          <w:szCs w:val="28"/>
        </w:rPr>
      </w:r>
    </w:p>
    <w:p>
      <w:pPr>
        <w:ind w:left="1455"/>
        <w:jc w:val="center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Сумма НМЦ за единицу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расценки определена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соответствии с методическими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рекомендациями по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определению НМЦ (Приложение № 2 к Положению о порядке размещения заказов на закупку товаров, выполнение работ, оказание услуг для обеспечения деятельности АО "Содружество")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методом сопоставимых рыночных цен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2026 год: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tbl>
      <w:tblPr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836"/>
        <w:gridCol w:w="1276"/>
        <w:gridCol w:w="708"/>
        <w:gridCol w:w="1134"/>
        <w:gridCol w:w="1276"/>
        <w:gridCol w:w="1559"/>
        <w:gridCol w:w="1560"/>
        <w:gridCol w:w="1559"/>
        <w:gridCol w:w="1701"/>
        <w:gridCol w:w="1559"/>
      </w:tblGrid>
      <w:tr>
        <w:tblPrEx/>
        <w:trPr>
          <w:trHeight w:val="30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работ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вид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подвижного состава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ед. изм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Прим.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2026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Информация о рыночных ценах за ед. изм., руб. с НДС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Средняя арифметическая цена за ед. изм., руб. с НДС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Общая стоимость, руб. с НДС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4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Предложение № 1/ КП от 03.08.2026 № 133-0308/26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Предложение № 2/ КП от 03.08.2026 № 134-0308/26К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Предложение № 3/ КП от 10.08.2026 № К-10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39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Сухая уборка в пунктах оборота, в том числе: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Сухая уборка в пунктах оборота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ЭПС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13512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164,83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136,46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165,66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155,65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2 103 178,83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Сухая уборка Аэропорт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ЭПС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736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164,83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136,46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165,66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155,65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114 560,36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Сухая уборка в пунктах оборота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РА-1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162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236,81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195,87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238,00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223,56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36 216,82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Сухая уборка в пунктах оборота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РА-2/РА-3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132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236,81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195,87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238,00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223,56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29 510,00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Влажная уборка в пунктах оборота, в том числе: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Влажная уборка пункты оборота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ЭПС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8778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581,26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481,68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584,16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549,03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4 819 406,41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Влажная уборка Аэропорт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ЭПС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368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581,26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481,68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584,16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549,03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202 043,92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Влажная уборка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Казань,Ижевск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 (экспресс Казань-Ижевск)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ЭПС (ЭП3Д)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1872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671,07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555,56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674,43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633,69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1 186 262,31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Влажная уборка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Казань,Ижевск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 (экспресс Казань-Ижевск) подменный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ЭПС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360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671,07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555,56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674,43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633,69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228 127,37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Влажная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уборка  Казань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 (экспресс Казань-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НижнийНовгород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ЭПС (ЭП3Д/ласточка)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672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671,07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555,56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674,43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633,69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425 837,75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Влажная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уборка  Казань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 (экспресс Казань-Нижний Новгород) подменный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ЭПС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70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671,07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555,56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674,43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633,69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44 358,10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Влажная уборка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РА-1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1482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599,11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495,49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602,11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565,57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838 170,79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Влажная уборка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РА-2/ РА-3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1183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599,11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495,49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602,11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565,57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669 066,16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76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Наружная уборка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ЦМО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8 вагонов. 4 раза в год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1 603,98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1 288,45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1 612,00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1 501,48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12 011,82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76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Внутренняя влажная уборка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ЦМО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8 вагонов. 4 раза в год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1 213,84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985,00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1 219,90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1 139,58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9 116,64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63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Уборка в пути следования (экспресс Казань-Ижевск)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ЭПС (ЭП3Д)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789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718,31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595,26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721,90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678,49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535 328,61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Уборка в пути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следования(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экспресс Казань-Ижевск) подменный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ЭПС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260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718,31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595,26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721,90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678,49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176 407,40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Уборка в пути следования (экспресс Казань-Н. Новгород)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lang w:eastAsia="ru-RU"/>
              </w:rPr>
              <w:t xml:space="preserve">ЭП 39/ласточка</w:t>
            </w:r>
            <w:r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692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718,31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595,26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721,90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678,49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469 515,08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Уборка в пути следования (экспресс Казань-Н. Новгород) подменный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ЭПС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64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718,31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595,26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721,90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678,49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43 423,36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Уборка сухих отходов (мусора)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ЭПС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4729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115,39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95,43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115,96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108,93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515 112,00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4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Удаление антивандальных надписей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ЭПС/ЦМО/РА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Чел/час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264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3 371,78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2 708,48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3 388,64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3 156,30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833 262,36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Итого за 2026 год: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13 290 916,08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</w:tr>
    </w:tbl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2027 год: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tbl>
      <w:tblPr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836"/>
        <w:gridCol w:w="1276"/>
        <w:gridCol w:w="708"/>
        <w:gridCol w:w="1134"/>
        <w:gridCol w:w="1276"/>
        <w:gridCol w:w="1559"/>
        <w:gridCol w:w="1560"/>
        <w:gridCol w:w="1559"/>
        <w:gridCol w:w="1701"/>
        <w:gridCol w:w="1559"/>
      </w:tblGrid>
      <w:tr>
        <w:tblPrEx/>
        <w:trPr>
          <w:trHeight w:val="30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работ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вид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подвижного состава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ед. изм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Прим.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202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7 год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Информация о рыночных ценах за ед. изм., руб. с НДС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Средняя арифметическая цена за ед. изм., руб. с НДС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Общая стоимость, руб. с НДС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4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Предложение № 1/ КП от 03.08.2026 № 133-0308/26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Предложение № 2/ КП от 03.08.2026 № 134-0308/26К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Предложение № 3/ КП от 10.08.2026 № К-10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39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Сухая уборка в пунктах оборота, в том числе: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Сухая уборка в пунктах оборота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ЭПС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53380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172,25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141,92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173,12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162,43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8 670 509,84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Сухая уборка Аэропорт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ЭПС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2920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172,25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141,92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173,12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162,43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474 295,41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Сухая уборка в пунктах оборота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РА-1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725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247,46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203,70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248,70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233,29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169 133,27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Сухая уборка в пунктах оборота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РА-2/РА-3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2220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247,46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203,70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248,70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233,29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517 897,73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Влажная уборка в пунктах оборота, в том числе: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Влажная уборка пункты оборота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ЭПС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32592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607,41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500,95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610,45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572,94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18 673 206,16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Влажная уборка Аэропорт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ЭПС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2920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607,41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500,95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610,45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572,94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1 672 979,93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Влажная уборка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Казань,Ижевск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 (экспресс Казань-Ижевск)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ЭПС (ЭП3Д)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6582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701,27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577,78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704,77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661,27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4 352 496,25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Влажная уборка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Казань,Ижевск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 (экспресс Казань-Ижевск) подменный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ЭПС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2496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701,27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577,78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704,77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661,27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1 650 536,41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Влажная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уборка  Казань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 (экспресс Казань-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НижнийНовгород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ЭПС (ЭП3Д/ласточка)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3650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701,27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577,78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704,77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661,27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2 413 644,99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Влажная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уборка  Казань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 (экспресс Казань-Нижний Новгород) подменный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ЭПС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701,27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577,78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704,77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661,27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Влажная уборка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РА-1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5275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626,07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515,31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629,20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590,19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3 113 270,19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Влажная уборка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РА-2/ РА-3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5032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626,07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515,31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629,20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590,19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2 969 853,19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76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Наружная уборка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ЦМО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8 вагонов. 4 раза в год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1 676,16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1 339,99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1 684,54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1 566,90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50 140,67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76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Внутренняя влажная уборка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ЦМО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8 вагонов. 4 раза в год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1 268,46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1 024,40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1 274,80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1 189,22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38 055,05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63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Уборка в пути следования (экспресс Казань-Ижевск)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ЭПС (ЭП3Д)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3351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750,64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619,07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754,40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708,04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2 372 631,76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Уборка в пути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следования(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экспресс Казань-Ижевск) подменный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ЭПС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726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750,64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619,07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754,40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708,04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514 034,81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Уборка в пути следования (экспресс Казань-Н. Новгород)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lang w:eastAsia="ru-RU"/>
              </w:rPr>
              <w:t xml:space="preserve">ЭП 39/ласточка</w:t>
            </w:r>
            <w:r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7300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750,64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619,07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754,40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708,04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5 168 669,61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Уборка в пути следования (экспресс Казань-Н. Новгород) подменный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ЭПС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750,64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619,07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754,40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708,04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Уборка сухих отходов (мусора)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ЭПС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17230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120,58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99,25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121,18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113,67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1 958 576,60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4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Удаление антивандальных надписей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ЭПС/ЦМО/РА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Чел/час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3 523,51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2 816,82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3 541,12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3 293,82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988 144,96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Итого за 2027 г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од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55 768 076,83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</w:tr>
    </w:tbl>
    <w:p>
      <w:pPr>
        <w:pStyle w:val="1109"/>
        <w:ind w:firstLine="709"/>
        <w:spacing w:after="0" w:line="240" w:lineRule="auto"/>
        <w:tabs>
          <w:tab w:val="left" w:pos="1080" w:leader="none"/>
        </w:tabs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  <w:r>
        <w:rPr>
          <w:b/>
          <w:bCs/>
          <w:color w:val="000000"/>
          <w:sz w:val="24"/>
          <w:szCs w:val="24"/>
        </w:rPr>
      </w:r>
    </w:p>
    <w:p>
      <w:pPr>
        <w:pStyle w:val="1109"/>
        <w:ind w:firstLine="709"/>
        <w:spacing w:after="0" w:line="240" w:lineRule="auto"/>
        <w:tabs>
          <w:tab w:val="left" w:pos="1080" w:leader="none"/>
        </w:tabs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2028 год:</w:t>
      </w:r>
      <w:r>
        <w:rPr>
          <w:b/>
          <w:bCs/>
          <w:color w:val="000000"/>
          <w:sz w:val="24"/>
          <w:szCs w:val="24"/>
        </w:rPr>
      </w:r>
    </w:p>
    <w:tbl>
      <w:tblPr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836"/>
        <w:gridCol w:w="1276"/>
        <w:gridCol w:w="708"/>
        <w:gridCol w:w="1134"/>
        <w:gridCol w:w="1276"/>
        <w:gridCol w:w="1559"/>
        <w:gridCol w:w="1560"/>
        <w:gridCol w:w="1559"/>
        <w:gridCol w:w="1701"/>
        <w:gridCol w:w="1559"/>
      </w:tblGrid>
      <w:tr>
        <w:tblPrEx/>
        <w:trPr>
          <w:trHeight w:val="30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работ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вид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подвижного состава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ед. изм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Прим.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202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8 год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Информация о рыночных ценах за ед. изм., руб. с НДС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Средняя арифметическая цена за ед. изм., руб. с НДС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Общая стоимость, руб. с НДС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4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Предложение № 1/ КП от 03.08.2026 № 133-0308/26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Предложение № 2/ КП от 03.08.2026 № 134-0308/26К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Предложение № 3/ КП от 10.08.2026 № К-10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39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Сухая уборка в пунктах оборота, в том числе: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Сухая уборка в пунктах оборота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ЭПС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53512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180,00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147,60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180,90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169,50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9 070 291,13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Сухая уборка Аэропорт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ЭПС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2928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180,00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147,60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180,90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169,50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496 296,39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Сухая уборка в пунктах оборота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РА-1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728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258,60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211,85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259,90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243,45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177 231,60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Сухая уборка в пунктах оборота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РА-2/РА-3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2220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258,60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211,85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259,90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243,45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540 459,00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Влажная уборка в пунктах оборота, в том числе: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Влажная уборка пункты оборота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ЭПС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32678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634,74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520,99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637,91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597,88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19 537 579,28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Влажная уборка Аэропорт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ЭПС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2928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634,74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520,99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637,91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597,88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1 750 597,72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Влажная уборка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Казань,Ижевск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 (экспресс Казань-Ижевск)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ЭПС (ЭП3Д)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6594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732,83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600,89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736,49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690,07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4 550 319,82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Влажная уборка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Казань,Ижевск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 (экспресс Казань-Ижевск) подменный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ЭПС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2520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732,83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600,89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736,49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690,07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1 738 975,73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Влажная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уборка  Казань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 (экспресс Казань-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НижнийНовгород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ЭПС (ЭП3Д/ласточка)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3650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732,83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600,89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736,49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690,07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2 518 754,53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Влажная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уборка  Казань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 (экспресс Казань-Нижний Новгород) подменный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ЭПС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732,83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600,89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736,49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489,77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Влажная уборка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РА-1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5280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654,24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535,92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657,51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615,89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3 251 888,64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Влажная уборка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РА-2/ РА-3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5054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654,24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535,92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657,51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615,89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3 112 697,95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76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Наружная уборка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ЦМО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8 вагонов. 4 раза в год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1 751,59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1 393,59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1 760,35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1 635,18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52 325,66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76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Внутренняя влажная уборка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ЦМО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8 вагонов. 4 раза в год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1 325,54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1 065,38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1 332,17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1 241,03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39 712,95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63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Уборка в пути следования (экспресс Казань-Ижевск)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ЭПС (ЭП3Д)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3360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784,42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643,83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788,34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738,86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2 482 584,16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Уборка в пути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следования(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экспресс Казань-Ижевск) подменный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ЭПС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734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784,42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643,83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788,34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738,86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542 326,42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Уборка в пути следования (экспресс Казань-Н. Новгород)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lang w:eastAsia="ru-RU"/>
              </w:rPr>
              <w:t xml:space="preserve">ЭП 39/ласточка</w:t>
            </w:r>
            <w:r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7320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784,42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643,83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788,34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738,86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5 408 486,92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Уборка в пути следования (экспресс Казань-Н. Новгород) подменный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ЭПС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784,42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643,83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788,34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524,25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Уборка сухих отходов (мусора)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ЭПС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вагон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17262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126,01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103,22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126,65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118,63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2 047 745,03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4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Удаление антивандальных надписей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ЭПС/ЦМО/РА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Чел/час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3 682,07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2 929,49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3 700,48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3 437,35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1 031 203,94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Итого за 2028 г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од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58 349 476,87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</w:tr>
    </w:tbl>
    <w:p>
      <w:pPr>
        <w:pStyle w:val="1109"/>
        <w:ind w:firstLine="709"/>
        <w:spacing w:after="0" w:line="240" w:lineRule="auto"/>
        <w:tabs>
          <w:tab w:val="left" w:pos="1080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09"/>
        <w:ind w:firstLine="709"/>
        <w:spacing w:after="0" w:line="240" w:lineRule="auto"/>
        <w:tabs>
          <w:tab w:val="left" w:pos="1080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063"/>
        <w:ind w:firstLine="709"/>
        <w:jc w:val="both"/>
        <w:spacing w:before="0" w:after="0" w:line="240" w:lineRule="auto"/>
        <w:shd w:val="clear" w:color="auto" w:fill="auto"/>
        <w:tabs>
          <w:tab w:val="left" w:pos="1226" w:leader="none"/>
          <w:tab w:val="left" w:pos="9573" w:leader="underscore"/>
        </w:tabs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Начальная (максимальная) цена договора с учетом всех расходов исполнителя составляет: </w:t>
      </w:r>
      <w:r>
        <w:rPr>
          <w:color w:val="000000"/>
          <w:sz w:val="28"/>
          <w:szCs w:val="28"/>
        </w:rPr>
        <w:t xml:space="preserve">127 408 469</w:t>
      </w:r>
      <w:r>
        <w:rPr>
          <w:color w:val="000000"/>
          <w:sz w:val="24"/>
          <w:szCs w:val="24"/>
        </w:rPr>
        <w:t xml:space="preserve"> (</w:t>
      </w:r>
      <w:r>
        <w:rPr>
          <w:color w:val="000000"/>
          <w:sz w:val="28"/>
          <w:szCs w:val="28"/>
        </w:rPr>
        <w:t xml:space="preserve">Сто двадцать </w:t>
      </w:r>
      <w:r>
        <w:rPr>
          <w:color w:val="000000"/>
          <w:sz w:val="28"/>
          <w:szCs w:val="28"/>
        </w:rPr>
        <w:t xml:space="preserve">семь</w:t>
      </w:r>
      <w:r>
        <w:rPr>
          <w:color w:val="000000"/>
          <w:sz w:val="28"/>
          <w:szCs w:val="28"/>
        </w:rPr>
        <w:t xml:space="preserve"> миллион</w:t>
      </w:r>
      <w:r>
        <w:rPr>
          <w:color w:val="000000"/>
          <w:sz w:val="28"/>
          <w:szCs w:val="28"/>
        </w:rPr>
        <w:t xml:space="preserve">ов</w:t>
      </w:r>
      <w:r>
        <w:rPr>
          <w:color w:val="000000"/>
          <w:sz w:val="28"/>
          <w:szCs w:val="28"/>
        </w:rPr>
        <w:t xml:space="preserve"> четыреста восемь тысяч четыреста шестьдесят девять</w:t>
      </w:r>
      <w:r>
        <w:rPr>
          <w:color w:val="000000"/>
          <w:sz w:val="28"/>
          <w:szCs w:val="28"/>
        </w:rPr>
        <w:t xml:space="preserve">) рубл</w:t>
      </w:r>
      <w:r>
        <w:rPr>
          <w:color w:val="000000"/>
          <w:sz w:val="28"/>
          <w:szCs w:val="28"/>
        </w:rPr>
        <w:t xml:space="preserve">ей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79</w:t>
      </w:r>
      <w:r>
        <w:rPr>
          <w:color w:val="000000"/>
          <w:sz w:val="28"/>
          <w:szCs w:val="28"/>
        </w:rPr>
        <w:t xml:space="preserve"> копе</w:t>
      </w:r>
      <w:r>
        <w:rPr>
          <w:color w:val="000000"/>
          <w:sz w:val="28"/>
          <w:szCs w:val="28"/>
        </w:rPr>
        <w:t xml:space="preserve">ек</w:t>
      </w:r>
      <w:r>
        <w:rPr>
          <w:color w:val="000000"/>
          <w:sz w:val="28"/>
          <w:szCs w:val="28"/>
        </w:rPr>
        <w:t xml:space="preserve"> с учетом НДС.</w:t>
      </w:r>
      <w:r>
        <w:rPr>
          <w:color w:val="000000"/>
          <w:sz w:val="28"/>
          <w:szCs w:val="28"/>
        </w:rPr>
      </w:r>
    </w:p>
    <w:p>
      <w:pPr>
        <w:pStyle w:val="1109"/>
        <w:ind w:firstLine="709"/>
        <w:spacing w:after="0" w:line="240" w:lineRule="auto"/>
        <w:tabs>
          <w:tab w:val="left" w:pos="1080" w:leader="none"/>
        </w:tabs>
        <w:rPr>
          <w:color w:val="000000"/>
          <w:sz w:val="24"/>
          <w:szCs w:val="24"/>
        </w:rPr>
        <w:sectPr>
          <w:headerReference w:type="default" r:id="rId9"/>
          <w:headerReference w:type="even" r:id="rId10"/>
          <w:headerReference w:type="first" r:id="rId11"/>
          <w:footerReference w:type="default" r:id="rId16"/>
          <w:footerReference w:type="even" r:id="rId17"/>
          <w:footerReference w:type="first" r:id="rId18"/>
          <w:footnotePr/>
          <w:endnotePr/>
          <w:type w:val="nextPage"/>
          <w:pgSz w:w="16838" w:h="11906" w:orient="landscape"/>
          <w:pgMar w:top="851" w:right="1134" w:bottom="851" w:left="1134" w:header="794" w:footer="794" w:gutter="0"/>
          <w:cols w:num="1" w:sep="0" w:space="708" w:equalWidth="1"/>
          <w:docGrid w:linePitch="360"/>
          <w:titlePg/>
        </w:sectPr>
      </w:pPr>
      <w:r>
        <w:rPr>
          <w:color w:val="000000"/>
          <w:sz w:val="24"/>
          <w:szCs w:val="24"/>
        </w:rPr>
      </w:r>
      <w:bookmarkEnd w:id="9"/>
      <w:r>
        <w:rPr>
          <w:color w:val="000000"/>
          <w:sz w:val="24"/>
          <w:szCs w:val="24"/>
        </w:rPr>
      </w:r>
    </w:p>
    <w:p>
      <w:pPr>
        <w:pStyle w:val="1071"/>
        <w:numPr>
          <w:ilvl w:val="0"/>
          <w:numId w:val="7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Заключение и исполнение договора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Заключение, исполнение договора осуществляется в соответствии с пунктом 10 аукционной документации.</w:t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pStyle w:val="905"/>
        <w:numPr>
          <w:ilvl w:val="0"/>
          <w:numId w:val="9"/>
        </w:numPr>
        <w:ind w:left="0" w:firstLine="709"/>
        <w:jc w:val="both"/>
        <w:spacing w:before="0" w:after="0"/>
        <w:rPr>
          <w:rFonts w:cs="Times New Roman"/>
          <w:i w:val="0"/>
        </w:rPr>
      </w:pPr>
      <w:r>
        <w:rPr>
          <w:rFonts w:cs="Times New Roman"/>
          <w:i w:val="0"/>
        </w:rPr>
        <w:t xml:space="preserve">Участник аукциона</w:t>
      </w:r>
      <w:r>
        <w:rPr>
          <w:rFonts w:cs="Times New Roman"/>
          <w:i w:val="0"/>
        </w:rPr>
      </w:r>
    </w:p>
    <w:p>
      <w:pPr>
        <w:pStyle w:val="906"/>
        <w:numPr>
          <w:ilvl w:val="1"/>
          <w:numId w:val="9"/>
        </w:numPr>
        <w:ind w:left="0" w:firstLine="709"/>
        <w:jc w:val="both"/>
        <w:keepLines w:val="0"/>
        <w:spacing w:before="0" w:line="240" w:lineRule="auto"/>
        <w:tabs>
          <w:tab w:val="left" w:pos="709" w:leader="none"/>
        </w:tabs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Участник аукциона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</w:r>
    </w:p>
    <w:p>
      <w:pPr>
        <w:pStyle w:val="1378"/>
        <w:numPr>
          <w:ilvl w:val="2"/>
          <w:numId w:val="9"/>
        </w:numPr>
        <w:ind w:left="0" w:firstLine="709"/>
        <w:rPr>
          <w:szCs w:val="28"/>
        </w:rPr>
      </w:pPr>
      <w:r>
        <w:rPr>
          <w:szCs w:val="28"/>
        </w:rPr>
        <w:t xml:space="preserve">Участником </w:t>
      </w:r>
      <w:r>
        <w:rPr>
          <w:szCs w:val="28"/>
        </w:rPr>
        <w:t xml:space="preserve">аукциона</w:t>
      </w:r>
      <w:r>
        <w:rPr>
          <w:szCs w:val="28"/>
        </w:rPr>
        <w:t xml:space="preserve"> признается любое юридическое лицо независимо от организационно-правовой формы, формы собственности,</w:t>
      </w:r>
      <w:r>
        <w:rPr>
          <w:szCs w:val="28"/>
        </w:rPr>
        <w:t xml:space="preserve">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г. № 255-ФЗ «О контроле за деятельностью лиц, находящихся под иностранным влиянием», ли</w:t>
      </w:r>
      <w:r>
        <w:rPr>
          <w:szCs w:val="28"/>
        </w:rPr>
        <w:t xml:space="preserve">бо любое физическое лицо, в том числе индивидуальный предприниматель, за исключением физического лица, являющегося иностранным агентом в соответствии с Федеральным законом от 14 июля 2022 г. № 255-ФЗ «О контроле за деятельностью лиц, находящихся под иностр</w:t>
      </w:r>
      <w:r>
        <w:rPr>
          <w:szCs w:val="28"/>
        </w:rPr>
        <w:t xml:space="preserve">анным влиянием», соответствующие условиям отнесения к субъектам малого и среднего предпринимательства в соответствии с требованиями статьи 4 Федерального закона от 24 июля 2007 г. № 209-ФЗ «О развитии малого и среднего предпринимательства в Российской Феде</w:t>
      </w:r>
      <w:r>
        <w:rPr>
          <w:szCs w:val="28"/>
        </w:rPr>
        <w:t xml:space="preserve">рации» или соответствующие требованиям Федерального закона от 27 ноября 2018 г. № 422-ФЗ «О проведении эксперимента по установлению специального налогового режима «Налог на профессиональный доход» и подавшие в установленные сроки и в установленном порядке </w:t>
      </w:r>
      <w:r>
        <w:rPr>
          <w:szCs w:val="28"/>
        </w:rPr>
        <w:t xml:space="preserve">аукционную</w:t>
      </w:r>
      <w:r>
        <w:rPr>
          <w:szCs w:val="28"/>
        </w:rPr>
        <w:t xml:space="preserve"> заявку на участие в </w:t>
      </w:r>
      <w:r>
        <w:rPr>
          <w:szCs w:val="28"/>
        </w:rPr>
        <w:t xml:space="preserve">аукционе</w:t>
      </w:r>
      <w:r>
        <w:rPr>
          <w:szCs w:val="28"/>
        </w:rPr>
        <w:t xml:space="preserve"> (далее – заявка). Лица, не являющиеся субъектами малого и среднего предпринимательства или не применяющие специальный налоговый режим «Налог на профессиональный доход», не вправе принимать участие в таком </w:t>
      </w:r>
      <w:r>
        <w:rPr>
          <w:szCs w:val="28"/>
        </w:rPr>
        <w:t xml:space="preserve">аукционе</w:t>
      </w:r>
      <w:r>
        <w:rPr>
          <w:szCs w:val="28"/>
        </w:rPr>
        <w:t xml:space="preserve">.</w:t>
      </w:r>
      <w:r>
        <w:rPr>
          <w:szCs w:val="28"/>
        </w:rPr>
      </w:r>
    </w:p>
    <w:p>
      <w:pPr>
        <w:pStyle w:val="1063"/>
        <w:ind w:left="709"/>
        <w:jc w:val="both"/>
        <w:spacing w:before="0" w:after="0" w:line="240" w:lineRule="auto"/>
        <w:shd w:val="clear" w:color="auto" w:fill="auto"/>
        <w:tabs>
          <w:tab w:val="left" w:pos="143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63"/>
        <w:numPr>
          <w:ilvl w:val="2"/>
          <w:numId w:val="9"/>
        </w:numPr>
        <w:ind w:left="0" w:firstLine="709"/>
        <w:jc w:val="both"/>
        <w:spacing w:before="0" w:after="0" w:line="240" w:lineRule="auto"/>
        <w:shd w:val="clear" w:color="auto" w:fill="auto"/>
        <w:tabs>
          <w:tab w:val="left" w:pos="143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 участию в аукционе допускаются участники, соответствующие </w:t>
      </w:r>
      <w:r>
        <w:rPr>
          <w:color w:val="000000"/>
          <w:sz w:val="28"/>
          <w:szCs w:val="28"/>
        </w:rPr>
        <w:t xml:space="preserve">предъявляемым обязательным и квалификационным требованиям</w:t>
      </w:r>
      <w:r>
        <w:rPr>
          <w:color w:val="000000"/>
          <w:sz w:val="28"/>
          <w:szCs w:val="28"/>
        </w:rPr>
        <w:t xml:space="preserve"> (п. 2 закупочной документации)</w:t>
      </w:r>
      <w:r>
        <w:rPr>
          <w:color w:val="000000"/>
          <w:sz w:val="28"/>
          <w:szCs w:val="28"/>
        </w:rPr>
        <w:t xml:space="preserve">, аукционные заявки которых соответствуют требованиям технического задания, аукционной документации, представившие надлежащим образом оформленные документы, предусмотренные аукционной документацией.</w:t>
      </w:r>
      <w:r>
        <w:rPr>
          <w:sz w:val="28"/>
          <w:szCs w:val="28"/>
        </w:rPr>
      </w:r>
    </w:p>
    <w:p>
      <w:pPr>
        <w:pStyle w:val="1101"/>
        <w:numPr>
          <w:ilvl w:val="2"/>
          <w:numId w:val="9"/>
        </w:numPr>
        <w:ind w:left="0" w:firstLine="709"/>
        <w:rPr>
          <w:szCs w:val="28"/>
        </w:rPr>
      </w:pPr>
      <w:r>
        <w:rPr>
          <w:szCs w:val="28"/>
        </w:rPr>
        <w:t xml:space="preserve">Участник несет все расходы и убытки, связанные с подготовкой и подачей своей аукционной заявки. Заказчик не несет никакой ответственности по расходам и убыткам, понесенным участниками в связи с их участием в аукционе.</w:t>
      </w:r>
      <w:r>
        <w:rPr>
          <w:szCs w:val="28"/>
        </w:rPr>
      </w:r>
    </w:p>
    <w:p>
      <w:pPr>
        <w:pStyle w:val="1101"/>
        <w:numPr>
          <w:ilvl w:val="2"/>
          <w:numId w:val="9"/>
        </w:numPr>
        <w:ind w:left="0" w:firstLine="709"/>
        <w:rPr>
          <w:szCs w:val="28"/>
        </w:rPr>
      </w:pPr>
      <w:r>
        <w:rPr>
          <w:szCs w:val="28"/>
        </w:rPr>
        <w:t xml:space="preserve">Аукционные заявки рассматриваются как обязательства участников. Заказчик вправе требовать от победителя аукциона заключения договора на условиях аукционной документации.</w:t>
      </w:r>
      <w:r>
        <w:rPr>
          <w:szCs w:val="28"/>
        </w:rPr>
      </w:r>
    </w:p>
    <w:p>
      <w:pPr>
        <w:pStyle w:val="1101"/>
        <w:ind w:firstLine="709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6"/>
        <w:numPr>
          <w:ilvl w:val="1"/>
          <w:numId w:val="9"/>
        </w:numPr>
        <w:ind w:left="0" w:firstLine="709"/>
        <w:jc w:val="both"/>
        <w:keepLines w:val="0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Требования к участникам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1071"/>
        <w:numPr>
          <w:ilvl w:val="2"/>
          <w:numId w:val="9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 должен соответствовать </w:t>
      </w:r>
      <w:r>
        <w:rPr>
          <w:rFonts w:ascii="Times New Roman" w:hAnsi="Times New Roman" w:cs="Times New Roman"/>
          <w:b/>
          <w:sz w:val="28"/>
          <w:szCs w:val="28"/>
        </w:rPr>
        <w:t xml:space="preserve">обязательным и квалификационным требованиям</w:t>
      </w:r>
      <w:r>
        <w:rPr>
          <w:rFonts w:ascii="Times New Roman" w:hAnsi="Times New Roman" w:cs="Times New Roman"/>
          <w:sz w:val="28"/>
          <w:szCs w:val="28"/>
        </w:rPr>
        <w:t xml:space="preserve"> аукционной документации. Заявка участника должна соответствовать требованиям технического задания. Для подтверждения соответствия требованиям аукционной документации в составе заявки должны быть </w:t>
      </w:r>
      <w:r>
        <w:rPr>
          <w:rFonts w:ascii="Times New Roman" w:hAnsi="Times New Roman" w:cs="Times New Roman"/>
          <w:sz w:val="28"/>
          <w:szCs w:val="28"/>
        </w:rPr>
        <w:t xml:space="preserve">представлены все необходимые документы и информация в соответствии с требованиями аукционной документации.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numPr>
          <w:ilvl w:val="2"/>
          <w:numId w:val="9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квалификационных требованиях и обязательных требованиях, а также о документах, представляемых в подтверждение данным требованиям, изложена в пунктах </w:t>
      </w:r>
      <w:r>
        <w:rPr>
          <w:rFonts w:ascii="Times New Roman" w:hAnsi="Times New Roman" w:cs="Times New Roman"/>
          <w:b/>
          <w:sz w:val="28"/>
          <w:szCs w:val="28"/>
        </w:rPr>
        <w:t xml:space="preserve">2, 5.</w:t>
      </w:r>
      <w:r>
        <w:rPr>
          <w:rFonts w:ascii="Times New Roman" w:hAnsi="Times New Roman" w:cs="Times New Roman"/>
          <w:b/>
          <w:sz w:val="28"/>
          <w:szCs w:val="28"/>
        </w:rPr>
        <w:t xml:space="preserve">2</w:t>
      </w:r>
      <w:r>
        <w:rPr>
          <w:rFonts w:ascii="Times New Roman" w:hAnsi="Times New Roman" w:cs="Times New Roman"/>
          <w:b/>
          <w:sz w:val="28"/>
          <w:szCs w:val="28"/>
        </w:rPr>
        <w:t xml:space="preserve">.3, 7.1.7, 7.1.8, 7.1.9</w:t>
      </w:r>
      <w:r>
        <w:rPr>
          <w:rFonts w:ascii="Times New Roman" w:hAnsi="Times New Roman" w:cs="Times New Roman"/>
          <w:sz w:val="28"/>
          <w:szCs w:val="28"/>
        </w:rPr>
        <w:t xml:space="preserve"> аукционной документации.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09"/>
        <w:numPr>
          <w:ilvl w:val="2"/>
          <w:numId w:val="9"/>
        </w:numPr>
        <w:ind w:left="0" w:firstLine="709"/>
        <w:spacing w:after="0" w:line="240" w:lineRule="auto"/>
        <w:tabs>
          <w:tab w:val="left" w:pos="0" w:leader="none"/>
        </w:tabs>
        <w:rPr>
          <w:bCs/>
          <w:szCs w:val="28"/>
        </w:rPr>
      </w:pPr>
      <w:r>
        <w:rPr>
          <w:bCs/>
          <w:szCs w:val="28"/>
        </w:rPr>
        <w:t xml:space="preserve">Участник</w:t>
      </w:r>
      <w:r>
        <w:rPr>
          <w:bCs/>
          <w:szCs w:val="28"/>
        </w:rPr>
        <w:t xml:space="preserve"> </w:t>
      </w:r>
      <w:r>
        <w:rPr>
          <w:bCs/>
          <w:szCs w:val="28"/>
        </w:rPr>
        <w:t xml:space="preserve">должен соответствовать </w:t>
      </w:r>
      <w:r>
        <w:rPr>
          <w:b/>
          <w:bCs/>
          <w:szCs w:val="28"/>
        </w:rPr>
        <w:t xml:space="preserve">обязательным требованиям аукционной документации, а именно:</w:t>
      </w:r>
      <w:r>
        <w:rPr>
          <w:bCs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.3.1. непроведение ликвидации участника - юридического лица и отсутствие решения арбитражного суда о признании участника такой закупки - юридического лица или индивидуального предпринимателя несостоятельным (банкротом);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.3.2. </w:t>
      </w:r>
      <w:r>
        <w:rPr>
          <w:rFonts w:ascii="Times New Roman" w:hAnsi="Times New Roman" w:cs="Times New Roman"/>
          <w:sz w:val="28"/>
          <w:szCs w:val="28"/>
        </w:rPr>
        <w:t xml:space="preserve">неприостановление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участника в порядке, установленном Кодексом Российской Федерации об административных правонарушениях;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.3.3. отсутствие</w:t>
      </w:r>
      <w:r>
        <w:rPr>
          <w:rFonts w:ascii="Times New Roman" w:hAnsi="Times New Roman" w:cs="Times New Roman"/>
          <w:sz w:val="28"/>
          <w:szCs w:val="28"/>
        </w:rPr>
        <w:t xml:space="preserve"> у участника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</w:t>
      </w:r>
      <w:r>
        <w:rPr>
          <w:rFonts w:ascii="Times New Roman" w:hAnsi="Times New Roman" w:cs="Times New Roman"/>
          <w:sz w:val="28"/>
          <w:szCs w:val="28"/>
        </w:rPr>
        <w:t xml:space="preserve">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</w:t>
      </w:r>
      <w:r>
        <w:rPr>
          <w:rFonts w:ascii="Times New Roman" w:hAnsi="Times New Roman" w:cs="Times New Roman"/>
          <w:sz w:val="28"/>
          <w:szCs w:val="28"/>
        </w:rPr>
        <w:t xml:space="preserve">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</w:t>
      </w:r>
      <w:r>
        <w:rPr>
          <w:rFonts w:ascii="Times New Roman" w:hAnsi="Times New Roman" w:cs="Times New Roman"/>
          <w:sz w:val="28"/>
          <w:szCs w:val="28"/>
        </w:rPr>
        <w:t xml:space="preserve">превышает двадцать пять процентов балансовой стоимости активов участника такой закупки, по данным бухгалтерской (финансовой) отчетности за последний отчетный период. Участник такой закупки считается соответствующим установленному требованию в случае, если </w:t>
      </w:r>
      <w:r>
        <w:rPr>
          <w:rFonts w:ascii="Times New Roman" w:hAnsi="Times New Roman" w:cs="Times New Roman"/>
          <w:sz w:val="28"/>
          <w:szCs w:val="28"/>
        </w:rPr>
        <w:t xml:space="preserve">им в установленном порядке подано заявление об обжаловании указанных недоимки,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.3.4. отсутствие у участника - физ</w:t>
      </w:r>
      <w:r>
        <w:rPr>
          <w:rFonts w:ascii="Times New Roman" w:hAnsi="Times New Roman" w:cs="Times New Roman"/>
          <w:sz w:val="28"/>
          <w:szCs w:val="28"/>
        </w:rPr>
        <w:t xml:space="preserve">ического лица, зарегистрированного в качестве индивидуального предпринимателя,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 неп</w:t>
      </w:r>
      <w:r>
        <w:rPr>
          <w:rFonts w:ascii="Times New Roman" w:hAnsi="Times New Roman" w:cs="Times New Roman"/>
          <w:sz w:val="28"/>
          <w:szCs w:val="28"/>
        </w:rPr>
        <w:t xml:space="preserve">огашенной или неснятой судимости за преступления в сфере экономики и (или) преступления, предусмотренные статьями 289, 290, 291, 291.1 Уголовного кодекса Российской Федерации, а также неприменение в отношении указанных физических лиц наказания в виде лишен</w:t>
      </w:r>
      <w:r>
        <w:rPr>
          <w:rFonts w:ascii="Times New Roman" w:hAnsi="Times New Roman" w:cs="Times New Roman"/>
          <w:sz w:val="28"/>
          <w:szCs w:val="28"/>
        </w:rPr>
        <w:t xml:space="preserve">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предметом осуществляемой закупки, и административного наказания в виде дисквалификации;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.3.5. отсутствие фактов привлечения в течение двух лет до момента подачи заявки на участие в конкурентной закупке участника такой закупки - юридического лица к административной ответственности за совершение административного </w:t>
      </w:r>
      <w:r>
        <w:rPr>
          <w:rFonts w:ascii="Times New Roman" w:hAnsi="Times New Roman" w:cs="Times New Roman"/>
          <w:sz w:val="28"/>
          <w:szCs w:val="28"/>
        </w:rPr>
        <w:t xml:space="preserve">правонарушения, предусмотренного статьей 19.28 Кодекса Российской Федерации об административных правонарушениях;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.3.6. соответствие участника указанным в документации о конкурентной закупке требованиям законодательства Российской Фе</w:t>
      </w:r>
      <w:r>
        <w:rPr>
          <w:rFonts w:ascii="Times New Roman" w:hAnsi="Times New Roman" w:cs="Times New Roman"/>
          <w:sz w:val="28"/>
          <w:szCs w:val="28"/>
        </w:rPr>
        <w:t xml:space="preserve">дерации к лицам, осуществляющим поставку товара, выполнение работы, оказание услуги, являющихся предметом закупки, если в соответствии с законодательством Российской Федерации информация и документы, подтверждающие такое соответствие, содержатся в открытых</w:t>
      </w:r>
      <w:r>
        <w:rPr>
          <w:rFonts w:ascii="Times New Roman" w:hAnsi="Times New Roman" w:cs="Times New Roman"/>
          <w:sz w:val="28"/>
          <w:szCs w:val="28"/>
        </w:rPr>
        <w:t xml:space="preserve"> и общедоступных государственных реестрах, размещенных в информационно-телекоммуникационной сети "Интернет" (с указанием адреса сайта или страницы сайта в информационно-телекоммуникационной сети "Интернет", на которых размещены эти информация и документы);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.3.7. обладание участником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.2.3.8.</w:t>
      </w:r>
      <w:r>
        <w:rPr>
          <w:rFonts w:ascii="Times New Roman" w:hAnsi="Times New Roman" w:cs="Times New Roman"/>
          <w:sz w:val="28"/>
          <w:szCs w:val="28"/>
        </w:rPr>
        <w:t xml:space="preserve"> обладание участником правами использования результата интеллектуальной деятельности в случае использования такого результата при исполнении договора;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378"/>
        <w:ind w:firstLine="709"/>
        <w:rPr>
          <w:szCs w:val="28"/>
        </w:rPr>
      </w:pPr>
      <w:r/>
      <w:bookmarkStart w:id="10" w:name="_Hlk114501540"/>
      <w:r/>
      <w:bookmarkStart w:id="11" w:name="_Hlk114493472"/>
      <w:r>
        <w:rPr>
          <w:szCs w:val="28"/>
        </w:rPr>
        <w:t xml:space="preserve">5.</w:t>
      </w:r>
      <w:r>
        <w:rPr>
          <w:szCs w:val="28"/>
        </w:rPr>
        <w:t xml:space="preserve">2</w:t>
      </w:r>
      <w:r>
        <w:rPr>
          <w:szCs w:val="28"/>
        </w:rPr>
        <w:t xml:space="preserve">.3.9. участник закупки не является лицом, включенным в перечень лиц, в отношении которых применяются специальные экономичес</w:t>
      </w:r>
      <w:r>
        <w:rPr>
          <w:szCs w:val="28"/>
        </w:rPr>
        <w:t xml:space="preserve">кие меры, утвержденный постановлением Правительства Российской Федерации от 11 мая 2022 г. № 851 «О мерах по реализации Указа Президента Российской Федерации от 3 мая 2022 г. № 252», а также не находится под контролем таких лиц либо их выгодоприобретателем</w:t>
      </w:r>
      <w:bookmarkEnd w:id="10"/>
      <w:r/>
      <w:bookmarkEnd w:id="11"/>
      <w:r>
        <w:rPr>
          <w:szCs w:val="28"/>
        </w:rPr>
        <w:t xml:space="preserve">;</w:t>
      </w:r>
      <w:r>
        <w:rPr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5.2.3.10. участник закупки не является иностранным агентом в соответствии с Федеральным </w:t>
      </w:r>
      <w:hyperlink r:id="rId21" w:tooltip="consultantplus://offline/ref=E5082BF4739F1F22EA8FCF187DD350D5D6159B5BF57D7D002C75FC9AFEE94A6E8C75C51F12091EA65483059DEBz9x8M" w:history="1">
        <w:r>
          <w:rPr>
            <w:rFonts w:ascii="Times New Roman" w:hAnsi="Times New Roman" w:cs="Times New Roman"/>
            <w:sz w:val="28"/>
            <w:szCs w:val="28"/>
          </w:rPr>
          <w:t xml:space="preserve"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14 июля 2022 года N 255-ФЗ "О контроле за деятельностью лиц, находящихся под иностранным влиянием.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5"/>
        <w:numPr>
          <w:ilvl w:val="0"/>
          <w:numId w:val="10"/>
        </w:numPr>
        <w:ind w:left="0" w:firstLine="709"/>
        <w:jc w:val="both"/>
        <w:spacing w:before="0" w:after="0"/>
        <w:rPr>
          <w:rFonts w:cs="Times New Roman"/>
          <w:i w:val="0"/>
        </w:rPr>
      </w:pPr>
      <w:r>
        <w:rPr>
          <w:rFonts w:cs="Times New Roman"/>
          <w:i w:val="0"/>
        </w:rPr>
        <w:t xml:space="preserve">Порядок проведения аукциона</w:t>
      </w:r>
      <w:r>
        <w:rPr>
          <w:rFonts w:cs="Times New Roman"/>
          <w:i w:val="0"/>
        </w:rPr>
      </w:r>
    </w:p>
    <w:p>
      <w:pPr>
        <w:pStyle w:val="906"/>
        <w:numPr>
          <w:ilvl w:val="1"/>
          <w:numId w:val="10"/>
        </w:numPr>
        <w:ind w:left="0" w:firstLine="709"/>
        <w:jc w:val="both"/>
        <w:keepLines w:val="0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Информационное сопровождение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numPr>
          <w:ilvl w:val="2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Аукционная документация и иная информация об аукционе размещается на официальном сайте единой информационной системе, на сайте ЭТП </w:t>
      </w:r>
      <w:r>
        <w:rPr>
          <w:rFonts w:ascii="Times New Roman" w:hAnsi="Times New Roman" w:cs="Times New Roman"/>
          <w:bCs/>
          <w:i/>
          <w:iCs/>
          <w:color w:val="548dd4" w:themeColor="text2" w:themeTint="99"/>
          <w:sz w:val="28"/>
          <w:szCs w:val="28"/>
          <w:u w:val="single"/>
        </w:rPr>
        <w:t xml:space="preserve">http://223etp.zakazrf.ru</w:t>
      </w:r>
      <w:r>
        <w:rPr>
          <w:rFonts w:ascii="Times New Roman" w:hAnsi="Times New Roman" w:cs="Times New Roman"/>
          <w:b/>
          <w:i/>
          <w:iCs/>
          <w:color w:val="548dd4" w:themeColor="text2" w:themeTint="99"/>
          <w:sz w:val="28"/>
          <w:szCs w:val="28"/>
          <w:u w:val="single"/>
        </w:rPr>
        <w:t xml:space="preserve">/</w:t>
      </w:r>
      <w:r>
        <w:rPr>
          <w:rFonts w:ascii="Times New Roman" w:hAnsi="Times New Roman" w:cs="Times New Roman"/>
          <w:bCs/>
          <w:color w:val="548dd4" w:themeColor="text2" w:themeTint="9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(далее- сайтах).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numPr>
          <w:ilvl w:val="2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получение аукционной документации плата не взимается. Размещение информации на сайтах осуществляется в один день.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01"/>
        <w:numPr>
          <w:ilvl w:val="2"/>
          <w:numId w:val="10"/>
        </w:numPr>
        <w:ind w:left="0" w:firstLine="709"/>
        <w:rPr>
          <w:szCs w:val="28"/>
        </w:rPr>
      </w:pPr>
      <w:r>
        <w:rPr>
          <w:szCs w:val="28"/>
        </w:rPr>
        <w:t xml:space="preserve">При проведении аукциона в электронной форме информация об аукционе размещается также на сайте электронной площадки.</w:t>
      </w:r>
      <w:r>
        <w:rPr>
          <w:szCs w:val="28"/>
        </w:rPr>
      </w:r>
    </w:p>
    <w:p>
      <w:pPr>
        <w:pStyle w:val="1063"/>
        <w:numPr>
          <w:ilvl w:val="2"/>
          <w:numId w:val="10"/>
        </w:numPr>
        <w:ind w:left="0" w:firstLine="709"/>
        <w:jc w:val="both"/>
        <w:spacing w:before="0" w:after="0" w:line="240" w:lineRule="auto"/>
        <w:shd w:val="clear" w:color="auto" w:fill="auto"/>
        <w:tabs>
          <w:tab w:val="left" w:pos="143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случае возникновения </w:t>
      </w:r>
      <w:r>
        <w:rPr>
          <w:sz w:val="28"/>
          <w:szCs w:val="28"/>
        </w:rPr>
        <w:t xml:space="preserve">технических и иных неполадок при работе единой информационной системы, блокирующих доступ к единой информационной системе в течение более чем 1 (одного) рабочего дня, информация, подлежащая размещению в единой информационной системе, размещается на сайте  </w:t>
      </w:r>
      <w:hyperlink r:id="rId22" w:tooltip="http://223etp.zakazrf.ru/" w:history="1">
        <w:r>
          <w:rPr>
            <w:rStyle w:val="1070"/>
            <w:sz w:val="28"/>
            <w:szCs w:val="28"/>
          </w:rPr>
          <w:t xml:space="preserve">http://223etp.zakazrf.ru/</w:t>
        </w:r>
      </w:hyperlink>
      <w:r>
        <w:rPr>
          <w:sz w:val="28"/>
          <w:szCs w:val="28"/>
        </w:rPr>
        <w:t xml:space="preserve"> и </w:t>
      </w:r>
      <w:hyperlink r:id="rId23" w:tooltip="http://www.sodruzhestvoppk.ru" w:history="1">
        <w:r>
          <w:rPr>
            <w:rStyle w:val="1070"/>
            <w:sz w:val="28"/>
            <w:szCs w:val="28"/>
            <w:lang w:val="en-US"/>
          </w:rPr>
          <w:t xml:space="preserve">www</w:t>
        </w:r>
        <w:r>
          <w:rPr>
            <w:rStyle w:val="1070"/>
            <w:sz w:val="28"/>
            <w:szCs w:val="28"/>
          </w:rPr>
          <w:t xml:space="preserve">.</w:t>
        </w:r>
        <w:r>
          <w:rPr>
            <w:rStyle w:val="1070"/>
            <w:sz w:val="28"/>
            <w:szCs w:val="28"/>
            <w:lang w:val="en-US"/>
          </w:rPr>
          <w:t xml:space="preserve">sodruzhestvoppk</w:t>
        </w:r>
        <w:r>
          <w:rPr>
            <w:rStyle w:val="1070"/>
            <w:sz w:val="28"/>
            <w:szCs w:val="28"/>
          </w:rPr>
          <w:t xml:space="preserve">.</w:t>
        </w:r>
        <w:r>
          <w:rPr>
            <w:rStyle w:val="1070"/>
            <w:sz w:val="28"/>
            <w:szCs w:val="28"/>
            <w:lang w:val="en-US"/>
          </w:rPr>
          <w:t xml:space="preserve">ru</w:t>
        </w:r>
      </w:hyperlink>
      <w:r>
        <w:rPr>
          <w:sz w:val="28"/>
          <w:szCs w:val="28"/>
        </w:rPr>
        <w:t xml:space="preserve">, с последующим размещением такой информации в единой информационной системе в течение 1 (одного) рабочего дня со дня устранения технических или иных неполадок, блокирующих доступ к единой информационной системе, и считается размещенной в установленном </w:t>
      </w:r>
      <w:r>
        <w:rPr>
          <w:sz w:val="28"/>
          <w:szCs w:val="28"/>
        </w:rPr>
        <w:t xml:space="preserve">порядке.</w:t>
      </w:r>
      <w:r>
        <w:rPr>
          <w:sz w:val="28"/>
          <w:szCs w:val="28"/>
        </w:rPr>
      </w:r>
    </w:p>
    <w:p>
      <w:pPr>
        <w:pStyle w:val="1101"/>
        <w:numPr>
          <w:ilvl w:val="2"/>
          <w:numId w:val="10"/>
        </w:numPr>
        <w:ind w:left="0" w:firstLine="709"/>
        <w:rPr>
          <w:szCs w:val="28"/>
        </w:rPr>
      </w:pPr>
      <w:r>
        <w:rPr>
          <w:szCs w:val="28"/>
        </w:rPr>
        <w:t xml:space="preserve">Протоколы, оформляемые в ходе проведения аукциона, размещаются на сайтах в течение 3 (трех) дней с даты их подписания. На сайтах могут размещаться выписки из протоколов, при этом такие выписки должны содержать информацию о ходе проведения процедуры.</w:t>
      </w:r>
      <w:r>
        <w:rPr>
          <w:szCs w:val="28"/>
        </w:rPr>
      </w:r>
    </w:p>
    <w:p>
      <w:pPr>
        <w:pStyle w:val="1101"/>
        <w:numPr>
          <w:ilvl w:val="2"/>
          <w:numId w:val="10"/>
        </w:numPr>
        <w:ind w:left="0" w:firstLine="709"/>
        <w:rPr>
          <w:szCs w:val="28"/>
        </w:rPr>
      </w:pPr>
      <w:r>
        <w:rPr>
          <w:szCs w:val="28"/>
        </w:rPr>
        <w:t xml:space="preserve">Конфиденциальная информация, ставшая известной сторонам при проведении аукциона, не может быть передана третьим лицам, за исключением случаев, предусмотренных законодательством Российской Федерации.</w:t>
      </w:r>
      <w:r>
        <w:rPr>
          <w:szCs w:val="28"/>
        </w:rPr>
      </w:r>
    </w:p>
    <w:p>
      <w:pPr>
        <w:pStyle w:val="1101"/>
        <w:ind w:firstLine="709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pStyle w:val="906"/>
        <w:numPr>
          <w:ilvl w:val="1"/>
          <w:numId w:val="10"/>
        </w:numPr>
        <w:ind w:left="0" w:firstLine="709"/>
        <w:jc w:val="both"/>
        <w:keepLines w:val="0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Разъяснения аукционной документации, изменения аукционной документации и извещения о проведении аукциона, прекращение аукциона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1071"/>
        <w:numPr>
          <w:ilvl w:val="2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eastAsia="MS Mincho" w:cs="Times New Roman"/>
          <w:sz w:val="28"/>
          <w:szCs w:val="28"/>
        </w:rPr>
        <w:t xml:space="preserve">Запрос о разъяснении аукционной документации может быть направлен с момента размещения аукционной документации, извещения о проведении аукциона на сайтах и не позднее, чем за 3 (три) рабочих дня до окончания срока подачи заявок на участие в аукционе.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pStyle w:val="1071"/>
        <w:numPr>
          <w:ilvl w:val="2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eastAsia="MS Mincho" w:cs="Times New Roman"/>
          <w:sz w:val="28"/>
          <w:szCs w:val="28"/>
        </w:rPr>
        <w:t xml:space="preserve">При проведении аукциона в электронной форме запрос может быть направлен только посредством электронной площадки с обязательным подписанием электронной подписью участника аукциона.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pStyle w:val="1071"/>
        <w:numPr>
          <w:ilvl w:val="2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eastAsia="MS Mincho" w:cs="Times New Roman"/>
          <w:sz w:val="28"/>
          <w:szCs w:val="28"/>
        </w:rPr>
        <w:t xml:space="preserve">Запрос о разъяснении аукционной документации, полученный от участника позднее установленного срока, не подлежит рассмотрению.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pStyle w:val="1071"/>
        <w:numPr>
          <w:ilvl w:val="2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eastAsia="MS Mincho" w:cs="Times New Roman"/>
          <w:sz w:val="28"/>
          <w:szCs w:val="28"/>
        </w:rPr>
        <w:t xml:space="preserve">Разъяснения аукционной документации представляются в течение 3 (трех) рабочих дней со дня поступления запроса.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pStyle w:val="1071"/>
        <w:numPr>
          <w:ilvl w:val="2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eastAsia="MS Mincho" w:cs="Times New Roman"/>
          <w:sz w:val="28"/>
          <w:szCs w:val="28"/>
        </w:rPr>
        <w:t xml:space="preserve">Разъяснения размещаются на сайтах не позднее 3 (трех) дней со дня представления разъяснений без указания информации о лице, от которого поступил запрос.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pStyle w:val="1071"/>
        <w:numPr>
          <w:ilvl w:val="2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любое время, но не позднее, чем за 1 (один) день до окончания срока подачи аукционных заявок, могут быть внесены дополнения и изменения в извещение о проведении аукциона и (или) в аукционную документацию.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pStyle w:val="1071"/>
        <w:numPr>
          <w:ilvl w:val="2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Дополнения и изменения, внесенные в извещение о проведении аукциона и (или) в аукционную документацию, размещаются на сайтах не позднее 3 (трех) дней с даты принятия решения о внесении изменений.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pStyle w:val="1071"/>
        <w:numPr>
          <w:ilvl w:val="2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внесения изменений в извещение о проведении аукциона и (или) аукционную документацию срок подачи аукционных заявок должен быть продлен так, чтоб</w:t>
      </w:r>
      <w:r>
        <w:rPr>
          <w:rFonts w:ascii="Times New Roman" w:hAnsi="Times New Roman" w:cs="Times New Roman"/>
          <w:sz w:val="28"/>
          <w:szCs w:val="28"/>
        </w:rPr>
        <w:t xml:space="preserve">ы со дня размещения на сайтах, внесенных в извещение о проведении аукциона и (или) аукционную документацию изменений до даты окончания срока подачи заявок оставалось не менее половины срока подачи заявок неучастие в аукционе, установленного в документации.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pStyle w:val="1071"/>
        <w:numPr>
          <w:ilvl w:val="2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 не берет на себя обязательство по уведомлению участников о дополнениях, изменениях, разъяснениях в извещение о проведении аукциона, аукц</w:t>
      </w:r>
      <w:r>
        <w:rPr>
          <w:rFonts w:ascii="Times New Roman" w:hAnsi="Times New Roman" w:cs="Times New Roman"/>
          <w:sz w:val="28"/>
          <w:szCs w:val="28"/>
        </w:rPr>
        <w:t xml:space="preserve">ионную документацию, а также по уведомлению участников об итогах аукциона и не несет ответственности в случаях, когда участник не осведомлен о разъяснениях, внесенных изменениях, дополнениях, итогах аукциона при условии их надлежащего размещения на сайтах.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pStyle w:val="1071"/>
        <w:numPr>
          <w:ilvl w:val="2"/>
          <w:numId w:val="10"/>
        </w:numPr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 вправе отказаться от проведения аукциона до наступления даты и времени окончания срока подачи заявок на участие в закупке. Заказчик не </w:t>
      </w:r>
      <w:r>
        <w:rPr>
          <w:rFonts w:ascii="Times New Roman" w:hAnsi="Times New Roman" w:cs="Times New Roman"/>
          <w:sz w:val="28"/>
          <w:szCs w:val="28"/>
        </w:rPr>
        <w:t xml:space="preserve">несет при этом никакой ответственности перед любыми физическими и юридическими лицами, которым такое действие может принести убытки.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истечении срока подачи заявок и до заключения договора заказчик вправе отменить аукцион только в случае возникновения обстоятельств непреодолимой силы в соответствии с гражданским законодательством. </w:t>
      </w:r>
      <w:r>
        <w:rPr>
          <w:rFonts w:ascii="Times New Roman" w:hAnsi="Times New Roman" w:eastAsia="MS Mincho" w:cs="Times New Roman"/>
          <w:color w:val="000000"/>
          <w:sz w:val="28"/>
          <w:szCs w:val="28"/>
        </w:rPr>
      </w:r>
    </w:p>
    <w:p>
      <w:pPr>
        <w:pStyle w:val="1063"/>
        <w:numPr>
          <w:ilvl w:val="2"/>
          <w:numId w:val="10"/>
        </w:numPr>
        <w:ind w:left="0" w:firstLine="709"/>
        <w:jc w:val="both"/>
        <w:spacing w:before="0" w:after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Решение об отмене закупки размещается на сайтах в день принятия такого решения.</w:t>
      </w:r>
      <w:r>
        <w:rPr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eastAsia="MS Mincho" w:cs="Times New Roman"/>
          <w:sz w:val="28"/>
          <w:szCs w:val="28"/>
        </w:rPr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pStyle w:val="906"/>
        <w:numPr>
          <w:ilvl w:val="1"/>
          <w:numId w:val="10"/>
        </w:numPr>
        <w:ind w:left="0" w:firstLine="709"/>
        <w:jc w:val="both"/>
        <w:keepLines w:val="0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Форма проведения аукциона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Аукцион проводится в электронной форме.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7"/>
        <w:numPr>
          <w:ilvl w:val="1"/>
          <w:numId w:val="10"/>
        </w:numPr>
        <w:ind w:left="0" w:firstLine="709"/>
        <w:jc w:val="both"/>
        <w:keepLines w:val="0"/>
        <w:spacing w:before="0" w:line="240" w:lineRule="auto"/>
        <w:widowControl w:val="off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Аукцион в электронной форме</w:t>
      </w:r>
      <w:r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r>
    </w:p>
    <w:p>
      <w:pPr>
        <w:pStyle w:val="1063"/>
        <w:numPr>
          <w:ilvl w:val="2"/>
          <w:numId w:val="10"/>
        </w:numPr>
        <w:ind w:left="0" w:firstLine="709"/>
        <w:jc w:val="both"/>
        <w:spacing w:before="0" w:after="0" w:line="240" w:lineRule="auto"/>
        <w:shd w:val="clear" w:color="auto" w:fill="auto"/>
        <w:tabs>
          <w:tab w:val="left" w:pos="143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Аукцион в электронной форме проводится на электронной площадке. Порядок и правила регистрации, получения ключей электронной подписи, работы на электронной площадке размещены на сайте </w:t>
      </w:r>
      <w:hyperlink r:id="rId24" w:tooltip="http://223etp.zakazrf.ru/" w:history="1">
        <w:r>
          <w:rPr>
            <w:rStyle w:val="1070"/>
            <w:sz w:val="28"/>
            <w:szCs w:val="28"/>
          </w:rPr>
          <w:t xml:space="preserve">http://223etp.zakazrf.ru/</w:t>
        </w:r>
      </w:hyperlink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</w:p>
    <w:p>
      <w:pPr>
        <w:pStyle w:val="1063"/>
        <w:numPr>
          <w:ilvl w:val="2"/>
          <w:numId w:val="10"/>
        </w:numPr>
        <w:ind w:left="0" w:firstLine="709"/>
        <w:jc w:val="both"/>
        <w:spacing w:before="0" w:after="0" w:line="240" w:lineRule="auto"/>
        <w:shd w:val="clear" w:color="auto" w:fill="auto"/>
        <w:tabs>
          <w:tab w:val="left" w:pos="144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Электронная площадка обеспечивает конфиденциальность информации и юридическую значимость электронного документооборота в соответствии с законодательством Российской Федерации и стандартами Российской Федерации.</w:t>
      </w:r>
      <w:r>
        <w:rPr>
          <w:sz w:val="28"/>
          <w:szCs w:val="28"/>
        </w:rPr>
      </w:r>
    </w:p>
    <w:p>
      <w:pPr>
        <w:pStyle w:val="1063"/>
        <w:numPr>
          <w:ilvl w:val="2"/>
          <w:numId w:val="10"/>
        </w:numPr>
        <w:ind w:left="0" w:firstLine="709"/>
        <w:jc w:val="both"/>
        <w:spacing w:before="0" w:after="0" w:line="240" w:lineRule="auto"/>
        <w:shd w:val="clear" w:color="auto" w:fill="auto"/>
        <w:tabs>
          <w:tab w:val="left" w:pos="143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Если аукцион проводится в электронной форме на электронной площадке, участник должен:</w:t>
      </w:r>
      <w:r>
        <w:rPr>
          <w:sz w:val="28"/>
          <w:szCs w:val="28"/>
        </w:rPr>
      </w:r>
    </w:p>
    <w:p>
      <w:pPr>
        <w:pStyle w:val="1063"/>
        <w:ind w:firstLine="709"/>
        <w:jc w:val="both"/>
        <w:spacing w:before="0" w:after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получить сертификаты электронной подписи для своих уполномоченных представителей;</w:t>
      </w:r>
      <w:r>
        <w:rPr>
          <w:sz w:val="28"/>
          <w:szCs w:val="28"/>
        </w:rPr>
      </w:r>
    </w:p>
    <w:p>
      <w:pPr>
        <w:pStyle w:val="1101"/>
        <w:ind w:firstLine="709"/>
        <w:rPr>
          <w:szCs w:val="28"/>
        </w:rPr>
      </w:pPr>
      <w:r>
        <w:rPr>
          <w:szCs w:val="28"/>
        </w:rPr>
        <w:t xml:space="preserve">зарегистрироваться на электронной площадке.</w:t>
      </w:r>
      <w:r>
        <w:rPr>
          <w:szCs w:val="28"/>
        </w:rPr>
      </w:r>
    </w:p>
    <w:p>
      <w:pPr>
        <w:pStyle w:val="1101"/>
        <w:numPr>
          <w:ilvl w:val="2"/>
          <w:numId w:val="10"/>
        </w:numPr>
        <w:ind w:left="0" w:firstLine="709"/>
        <w:rPr>
          <w:szCs w:val="28"/>
        </w:rPr>
      </w:pPr>
      <w:r>
        <w:rPr>
          <w:szCs w:val="28"/>
        </w:rPr>
        <w:t xml:space="preserve">Все действия, выполненные на электронной площадке лицом, указавшим правильные имя и пароль лица, зарегистрированного на электронной площадке, по которым электронная площадка его идентифицирует, счит</w:t>
      </w:r>
      <w:r>
        <w:rPr>
          <w:szCs w:val="28"/>
        </w:rPr>
        <w:t xml:space="preserve">аются произведенными от имени того лица, представителю которого были предоставлены эти имя и пароль. За действия своего представителя и документы, подписанные его электронной подписью, ответственность несет лицо, зарегистрированное на электронной площадке.</w:t>
      </w:r>
      <w:r>
        <w:rPr>
          <w:szCs w:val="28"/>
        </w:rPr>
      </w:r>
    </w:p>
    <w:p>
      <w:pPr>
        <w:pStyle w:val="1063"/>
        <w:numPr>
          <w:ilvl w:val="2"/>
          <w:numId w:val="10"/>
        </w:numPr>
        <w:ind w:left="0" w:firstLine="709"/>
        <w:jc w:val="both"/>
        <w:spacing w:before="0" w:after="0" w:line="240" w:lineRule="auto"/>
        <w:shd w:val="clear" w:color="auto" w:fill="auto"/>
        <w:tabs>
          <w:tab w:val="left" w:pos="144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Заказчик не несет ответственности перед владельцами сертификата ключа подписи и лицами, использующими эти сертификаты для проверки подписи и шифрования сообщений, а также перед третьими лицами за любые убытки, потери, иной ущерб, связанные с использован</w:t>
      </w:r>
      <w:r>
        <w:rPr>
          <w:sz w:val="28"/>
          <w:szCs w:val="28"/>
        </w:rPr>
        <w:t xml:space="preserve">ием сертификата, независимо от суммы заключенных с использованием сертификата сделок и совершения ими иных действий, за исключением случаев нарушения заказчиком обязательств, предусмотренных аукционной документацией, законодательством Российской Федерации.</w:t>
      </w:r>
      <w:r>
        <w:rPr>
          <w:sz w:val="28"/>
          <w:szCs w:val="28"/>
        </w:rPr>
      </w:r>
    </w:p>
    <w:p>
      <w:pPr>
        <w:pStyle w:val="1101"/>
        <w:numPr>
          <w:ilvl w:val="2"/>
          <w:numId w:val="10"/>
        </w:numPr>
        <w:ind w:left="0" w:firstLine="709"/>
        <w:rPr>
          <w:szCs w:val="28"/>
        </w:rPr>
      </w:pPr>
      <w:r>
        <w:rPr>
          <w:szCs w:val="28"/>
        </w:rPr>
        <w:t xml:space="preserve">Все действия, осуществляемые зарегистрированным лицом на электронной площадке, а также время их совершения фиксируются автоматически.</w:t>
      </w:r>
      <w:r>
        <w:rPr>
          <w:szCs w:val="28"/>
        </w:rPr>
      </w:r>
    </w:p>
    <w:p>
      <w:pPr>
        <w:pStyle w:val="1063"/>
        <w:numPr>
          <w:ilvl w:val="2"/>
          <w:numId w:val="10"/>
        </w:numPr>
        <w:ind w:left="0" w:firstLine="709"/>
        <w:jc w:val="both"/>
        <w:spacing w:before="0" w:after="0" w:line="240" w:lineRule="auto"/>
        <w:shd w:val="clear" w:color="auto" w:fill="auto"/>
        <w:tabs>
          <w:tab w:val="left" w:pos="144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Все действия в рамках проведения аукциона, в том числе направление запросов на разъяснение аукционной документации, п</w:t>
      </w:r>
      <w:r>
        <w:rPr>
          <w:sz w:val="28"/>
          <w:szCs w:val="28"/>
        </w:rPr>
        <w:t xml:space="preserve">олучение ответов на такие запросы, направление запросов участнику о разъяснении отдельных положений его аукционной заявки, направление ответов на такие запросы, подача заявки на участие в аукционе, ее отзыв, подача предложений о цене договора (цене лота), </w:t>
      </w:r>
      <w:r>
        <w:rPr>
          <w:sz w:val="28"/>
          <w:szCs w:val="28"/>
        </w:rPr>
        <w:t xml:space="preserve">осуществляются через личный кабинет участника электронных процедур на электронной площадке на сайте </w:t>
      </w:r>
      <w:hyperlink r:id="rId25" w:tooltip="http://223etp.zakazrf.ru/" w:history="1">
        <w:r>
          <w:rPr>
            <w:rStyle w:val="1070"/>
            <w:sz w:val="28"/>
            <w:szCs w:val="28"/>
          </w:rPr>
          <w:t xml:space="preserve">http://223etp.zakazrf.ru/</w:t>
        </w:r>
      </w:hyperlink>
      <w:r>
        <w:rPr>
          <w:sz w:val="28"/>
          <w:szCs w:val="28"/>
        </w:rPr>
        <w:t xml:space="preserve">. Информация о ходе аукциона, предложениях участников о цене договора (цене лота), в том числе последнем и предпоследнем предложениях, отображается на странице аукциона на сайте </w:t>
      </w:r>
      <w:hyperlink r:id="rId26" w:tooltip="http://223etp.zakazrf.ru/" w:history="1">
        <w:r>
          <w:rPr>
            <w:rStyle w:val="1070"/>
            <w:sz w:val="28"/>
            <w:szCs w:val="28"/>
          </w:rPr>
          <w:t xml:space="preserve">http://223etp.zakazrf.ru/</w:t>
        </w:r>
      </w:hyperlink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</w:p>
    <w:p>
      <w:pPr>
        <w:pStyle w:val="1063"/>
        <w:numPr>
          <w:ilvl w:val="2"/>
          <w:numId w:val="10"/>
        </w:numPr>
        <w:ind w:left="0" w:firstLine="709"/>
        <w:jc w:val="both"/>
        <w:spacing w:before="0" w:after="0" w:line="240" w:lineRule="auto"/>
        <w:shd w:val="clear" w:color="auto" w:fill="auto"/>
        <w:tabs>
          <w:tab w:val="left" w:pos="143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Заказчик рассматривает только те заявки на участие в аукционе, которые подписаны электронной подписью и направлены ему до наступления срока окончания подачи заявок.</w:t>
      </w:r>
      <w:r>
        <w:rPr>
          <w:sz w:val="28"/>
          <w:szCs w:val="28"/>
        </w:rPr>
      </w:r>
    </w:p>
    <w:p>
      <w:pPr>
        <w:pStyle w:val="1063"/>
        <w:numPr>
          <w:ilvl w:val="2"/>
          <w:numId w:val="10"/>
        </w:numPr>
        <w:ind w:left="0" w:firstLine="709"/>
        <w:jc w:val="both"/>
        <w:spacing w:before="0" w:after="0" w:line="240" w:lineRule="auto"/>
        <w:shd w:val="clear" w:color="auto" w:fill="auto"/>
        <w:tabs>
          <w:tab w:val="left" w:pos="143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Лица, зарегистрированные на электронной площадке, осуществляют обмен электронными документами только с заказчиком.</w:t>
      </w:r>
      <w:r>
        <w:rPr>
          <w:sz w:val="28"/>
          <w:szCs w:val="28"/>
        </w:rPr>
      </w:r>
    </w:p>
    <w:p>
      <w:pPr>
        <w:pStyle w:val="1063"/>
        <w:numPr>
          <w:ilvl w:val="2"/>
          <w:numId w:val="10"/>
        </w:numPr>
        <w:ind w:left="0" w:firstLine="709"/>
        <w:jc w:val="both"/>
        <w:spacing w:before="0" w:after="0" w:line="240" w:lineRule="auto"/>
        <w:shd w:val="clear" w:color="auto" w:fill="auto"/>
        <w:tabs>
          <w:tab w:val="left" w:pos="15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Лица, зарегистрированные на электронной площадке, несут ответственность за сохранность закрытой части ключа электронной подписи и правильность эксплуатации системы криптографической защиты информации.</w:t>
      </w:r>
      <w:r>
        <w:rPr>
          <w:sz w:val="28"/>
          <w:szCs w:val="28"/>
        </w:rPr>
      </w:r>
    </w:p>
    <w:p>
      <w:pPr>
        <w:pStyle w:val="1063"/>
        <w:numPr>
          <w:ilvl w:val="2"/>
          <w:numId w:val="10"/>
        </w:numPr>
        <w:ind w:left="0" w:firstLine="709"/>
        <w:jc w:val="both"/>
        <w:spacing w:before="0" w:after="0" w:line="240" w:lineRule="auto"/>
        <w:shd w:val="clear" w:color="auto" w:fill="auto"/>
        <w:tabs>
          <w:tab w:val="left" w:pos="15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Заказчик вправе не рассматривать электронные документы, заверенные электронной подписью, если нарушены правила использования электронной подписи, установленные законодательством Российской Федерации, в том числе, если сертификат ключа подписи утратил силу,</w:t>
      </w:r>
      <w:r>
        <w:rPr>
          <w:sz w:val="28"/>
          <w:szCs w:val="28"/>
        </w:rPr>
        <w:t xml:space="preserve"> электронная подпись используется с превышением полномочий и/или устарели данные, представленные для выдачи сертификата ключа подписи (изменены реквизиты юридического/физического лица, полномочия должностного лица, которому выдан сертификат ключа подписи).</w:t>
      </w:r>
      <w:r>
        <w:rPr>
          <w:sz w:val="28"/>
          <w:szCs w:val="28"/>
        </w:rPr>
      </w:r>
    </w:p>
    <w:p>
      <w:pPr>
        <w:pStyle w:val="1101"/>
        <w:ind w:firstLine="709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pStyle w:val="906"/>
        <w:numPr>
          <w:ilvl w:val="1"/>
          <w:numId w:val="10"/>
        </w:numPr>
        <w:ind w:left="0" w:firstLine="709"/>
        <w:jc w:val="both"/>
        <w:keepLines w:val="0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Открытие доступа к аукционным заявкам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1071"/>
        <w:numPr>
          <w:ilvl w:val="2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окончании срока подачи аукционных заявок электронные документы, полученные от участника аукциона в электронной форме, направляются оператором электронной площадки заказчику.</w:t>
      </w:r>
      <w:r>
        <w:rPr>
          <w:rFonts w:ascii="Times New Roman" w:hAnsi="Times New Roman" w:eastAsia="MS Mincho" w:cs="Times New Roman"/>
          <w:color w:val="000000"/>
          <w:sz w:val="28"/>
          <w:szCs w:val="28"/>
        </w:rPr>
      </w:r>
    </w:p>
    <w:p>
      <w:pPr>
        <w:pStyle w:val="1071"/>
        <w:numPr>
          <w:ilvl w:val="2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на участие в аукционе не поступило ни одной заявки оформляется итоговый протокол, в котором указывается информация о признании аукциона несостоявшимся. Иные протоколы в ходе закупки не оформляются.</w:t>
      </w:r>
      <w:r>
        <w:rPr>
          <w:rFonts w:ascii="Times New Roman" w:hAnsi="Times New Roman" w:eastAsia="MS Mincho" w:cs="Times New Roman"/>
          <w:color w:val="000000"/>
          <w:sz w:val="28"/>
          <w:szCs w:val="28"/>
        </w:rPr>
      </w:r>
    </w:p>
    <w:p>
      <w:pPr>
        <w:pStyle w:val="1071"/>
        <w:numPr>
          <w:ilvl w:val="2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на участие в аукционе поступила одна заявка и заказчиком принято решение о признании аукциона несостоявшимся без рассмотрения заявки и заключения договор</w:t>
      </w:r>
      <w:r>
        <w:rPr>
          <w:rFonts w:ascii="Times New Roman" w:hAnsi="Times New Roman" w:cs="Times New Roman"/>
          <w:sz w:val="28"/>
          <w:szCs w:val="28"/>
        </w:rPr>
        <w:t xml:space="preserve">а с единственным участником закупки, такая заявка не рассматривается заказчиком, аукцион признается несостоявшимся, договор с таким участником не заключается, соответствующая информация указывается в протоколе. Иные протоколы в ходе закупки не оформляются.</w:t>
      </w:r>
      <w:r>
        <w:rPr>
          <w:rFonts w:ascii="Times New Roman" w:hAnsi="Times New Roman" w:eastAsia="MS Mincho" w:cs="Times New Roman"/>
          <w:color w:val="000000"/>
          <w:sz w:val="28"/>
          <w:szCs w:val="28"/>
        </w:rPr>
      </w:r>
    </w:p>
    <w:p>
      <w:pPr>
        <w:pStyle w:val="1071"/>
        <w:contextualSpacing w:val="0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6"/>
        <w:numPr>
          <w:ilvl w:val="1"/>
          <w:numId w:val="10"/>
        </w:numPr>
        <w:ind w:left="0" w:firstLine="709"/>
        <w:jc w:val="both"/>
        <w:keepLines w:val="0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Рассмотрение аукционных заявок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1071"/>
        <w:numPr>
          <w:ilvl w:val="2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eastAsia="MS Mincho" w:cs="Times New Roman"/>
          <w:sz w:val="28"/>
          <w:szCs w:val="28"/>
        </w:rPr>
        <w:t xml:space="preserve">Аукционные заявки участников рассматриваются на соответствие требованиям, изложенным в аукционной документации, на основании п</w:t>
      </w:r>
      <w:r>
        <w:rPr>
          <w:rFonts w:ascii="Times New Roman" w:hAnsi="Times New Roman" w:eastAsia="MS Mincho" w:cs="Times New Roman"/>
          <w:sz w:val="28"/>
          <w:szCs w:val="28"/>
        </w:rPr>
        <w:t xml:space="preserve">редставленных в составе аукционных заявок документов, а также иных источников информации, предусмотренных аукционной документацией, законодательством Российской Федерации, в том числе официальных сайтов государственных органов, организаций в сети Интернет.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color w:val="000000"/>
          <w:sz w:val="28"/>
          <w:szCs w:val="28"/>
        </w:rPr>
      </w:pPr>
      <w:r>
        <w:rPr>
          <w:rFonts w:ascii="Times New Roman" w:hAnsi="Times New Roman" w:eastAsia="MS Mincho" w:cs="Times New Roman"/>
          <w:sz w:val="28"/>
          <w:szCs w:val="28"/>
        </w:rPr>
        <w:t xml:space="preserve">Сведения об участнике закупки проверяются заказчиком, в том числе на основании выписки из единого государственного реестра юридических лиц, выписки из единого государственного реестра индивидуальных предпринимателей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размещенной на сайте </w:t>
      </w:r>
      <w:hyperlink r:id="rId27" w:tooltip="https://egrul.nalog.ru/" w:history="1">
        <w:r>
          <w:rPr>
            <w:rStyle w:val="1070"/>
            <w:rFonts w:ascii="Times New Roman" w:hAnsi="Times New Roman" w:cs="Times New Roman"/>
            <w:sz w:val="28"/>
            <w:szCs w:val="28"/>
          </w:rPr>
          <w:t xml:space="preserve">https://egrul.nalog.ru/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выписки из единого реестра субъектов малого и среднего предпринимательства, размещенной на сайте </w:t>
      </w:r>
      <w:hyperlink r:id="rId28" w:tooltip="https://ofd.nalog.ru/" w:history="1">
        <w:r>
          <w:rPr>
            <w:rStyle w:val="1070"/>
            <w:rFonts w:ascii="Times New Roman" w:hAnsi="Times New Roman" w:cs="Times New Roman"/>
            <w:sz w:val="28"/>
            <w:szCs w:val="28"/>
          </w:rPr>
          <w:t xml:space="preserve">https://ofd.nalog.ru/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MS Mincho" w:cs="Times New Roman"/>
          <w:sz w:val="28"/>
          <w:szCs w:val="28"/>
        </w:rPr>
        <w:t xml:space="preserve">информации, содержащейся на официальном сайте Федеральной налоговой службы Российской Федерации </w:t>
      </w:r>
      <w:hyperlink r:id="rId29" w:tooltip="http://www.nalog.ru" w:history="1">
        <w:r>
          <w:rPr>
            <w:rFonts w:ascii="Times New Roman" w:hAnsi="Times New Roman" w:eastAsia="MS Mincho" w:cs="Times New Roman"/>
            <w:sz w:val="28"/>
            <w:szCs w:val="28"/>
          </w:rPr>
          <w:t xml:space="preserve">www.nalog.ru</w:t>
        </w:r>
      </w:hyperlink>
      <w:r>
        <w:rPr>
          <w:rFonts w:ascii="Times New Roman" w:hAnsi="Times New Roman" w:eastAsia="MS Mincho" w:cs="Times New Roman"/>
          <w:sz w:val="28"/>
          <w:szCs w:val="28"/>
        </w:rPr>
        <w:t xml:space="preserve">, о применении участником закупки специального налогового режима «Налог на профессиональный доход»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MS Mincho" w:cs="Times New Roman"/>
          <w:color w:val="000000"/>
          <w:sz w:val="28"/>
          <w:szCs w:val="28"/>
        </w:rPr>
      </w:r>
    </w:p>
    <w:p>
      <w:pPr>
        <w:pStyle w:val="1071"/>
        <w:numPr>
          <w:ilvl w:val="2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рассмотрения аукционных заявок не может превышать 20 (двадцать) календарных дней со дня окончания срока подачи заявок на участие в аукционе.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pStyle w:val="1071"/>
        <w:numPr>
          <w:ilvl w:val="2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b/>
          <w:bCs/>
          <w:sz w:val="28"/>
          <w:szCs w:val="28"/>
        </w:rPr>
      </w:pPr>
      <w:r>
        <w:rPr>
          <w:rFonts w:ascii="Times New Roman" w:hAnsi="Times New Roman" w:eastAsia="MS Mincho" w:cs="Times New Roman"/>
          <w:b/>
          <w:bCs/>
          <w:sz w:val="28"/>
          <w:szCs w:val="28"/>
        </w:rPr>
        <w:t xml:space="preserve">Участник аукциона не допускается к участию в аукционе в случае:</w:t>
      </w:r>
      <w:r>
        <w:rPr>
          <w:rFonts w:ascii="Times New Roman" w:hAnsi="Times New Roman" w:eastAsia="MS Mincho" w:cs="Times New Roman"/>
          <w:b/>
          <w:bCs/>
          <w:sz w:val="28"/>
          <w:szCs w:val="28"/>
        </w:rPr>
      </w:r>
    </w:p>
    <w:p>
      <w:pPr>
        <w:pStyle w:val="1071"/>
        <w:numPr>
          <w:ilvl w:val="3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eastAsia="MS Mincho" w:cs="Times New Roman"/>
          <w:sz w:val="28"/>
          <w:szCs w:val="28"/>
        </w:rPr>
        <w:t xml:space="preserve">не</w:t>
      </w:r>
      <w:r>
        <w:rPr>
          <w:rFonts w:ascii="Times New Roman" w:hAnsi="Times New Roman" w:eastAsia="MS Mincho" w:cs="Times New Roman"/>
          <w:sz w:val="28"/>
          <w:szCs w:val="28"/>
        </w:rPr>
        <w:t xml:space="preserve">представления определенных аукционной документацией документов либо наличия в этих документах неполной информации и (или) информации об участнике аукциона или о товарах, работах, услугах, закупка которых осуществляется, не соответствующей действительности;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pStyle w:val="1071"/>
        <w:numPr>
          <w:ilvl w:val="3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eastAsia="MS Mincho" w:cs="Times New Roman"/>
          <w:sz w:val="28"/>
          <w:szCs w:val="28"/>
        </w:rPr>
        <w:t xml:space="preserve">несоответствия участника аукциона предусмотренным аукционной документацией требованиям;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pStyle w:val="1071"/>
        <w:numPr>
          <w:ilvl w:val="3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eastAsia="MS Mincho" w:cs="Times New Roman"/>
          <w:sz w:val="28"/>
          <w:szCs w:val="28"/>
        </w:rPr>
        <w:t xml:space="preserve">невнесения обеспечения аукционной заявки (если аукционной документацией установлено такое требование);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pStyle w:val="1071"/>
        <w:numPr>
          <w:ilvl w:val="3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eastAsia="MS Mincho" w:cs="Times New Roman"/>
          <w:sz w:val="28"/>
          <w:szCs w:val="28"/>
        </w:rPr>
        <w:t xml:space="preserve">несоответствия аукционной заявки требованиям аукционной документации, в том числе: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eastAsia="MS Mincho" w:cs="Times New Roman"/>
          <w:sz w:val="28"/>
          <w:szCs w:val="28"/>
        </w:rPr>
        <w:t xml:space="preserve">аукционная заявка не соответствует форме, установленной аукционной документацией, не содержит документов, иной информации согласно требованиям аукционной документации;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eastAsia="MS Mincho" w:cs="Times New Roman"/>
          <w:sz w:val="28"/>
          <w:szCs w:val="28"/>
        </w:rPr>
        <w:t xml:space="preserve">документы не подписаны должным образом (в соответствии с требованиями аукционной документации);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color w:val="000000"/>
          <w:sz w:val="28"/>
          <w:szCs w:val="28"/>
        </w:rPr>
      </w:pPr>
      <w:r>
        <w:rPr>
          <w:rFonts w:ascii="Times New Roman" w:hAnsi="Times New Roman" w:eastAsia="MS Mincho" w:cs="Times New Roman"/>
          <w:color w:val="000000"/>
          <w:sz w:val="28"/>
          <w:szCs w:val="28"/>
        </w:rPr>
        <w:t xml:space="preserve">предложение участника в отношении предмета закупки (техническое предложение) не соответствует требованиям аукционной документации;</w:t>
      </w:r>
      <w:r>
        <w:rPr>
          <w:rFonts w:ascii="Times New Roman" w:hAnsi="Times New Roman" w:eastAsia="MS Mincho" w:cs="Times New Roman"/>
          <w:color w:val="000000"/>
          <w:sz w:val="28"/>
          <w:szCs w:val="28"/>
        </w:rPr>
      </w:r>
    </w:p>
    <w:p>
      <w:pPr>
        <w:pStyle w:val="1071"/>
        <w:numPr>
          <w:ilvl w:val="3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eastAsia="MS Mincho" w:cs="Times New Roman"/>
          <w:sz w:val="28"/>
          <w:szCs w:val="28"/>
        </w:rPr>
        <w:t xml:space="preserve">отказа участника от продления срока действия заявки и обеспечения аукционной заявки;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pStyle w:val="1071"/>
        <w:numPr>
          <w:ilvl w:val="3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b/>
          <w:color w:val="ff0000"/>
          <w:sz w:val="28"/>
          <w:szCs w:val="28"/>
        </w:rPr>
      </w:pPr>
      <w:r>
        <w:rPr>
          <w:rFonts w:ascii="Times New Roman" w:hAnsi="Times New Roman" w:eastAsia="MS Mincho" w:cs="Times New Roman"/>
          <w:b/>
          <w:color w:val="ff0000"/>
          <w:sz w:val="28"/>
          <w:szCs w:val="28"/>
        </w:rPr>
        <w:t xml:space="preserve">первая часть заявки на участие в аукционе содержит сведения об участнике и /или сведения о ценовом предложении; </w:t>
      </w:r>
      <w:r>
        <w:rPr>
          <w:rFonts w:ascii="Times New Roman" w:hAnsi="Times New Roman" w:eastAsia="MS Mincho" w:cs="Times New Roman"/>
          <w:b/>
          <w:color w:val="ff0000"/>
          <w:sz w:val="28"/>
          <w:szCs w:val="28"/>
        </w:rPr>
      </w:r>
    </w:p>
    <w:p>
      <w:pPr>
        <w:pStyle w:val="1116"/>
        <w:numPr>
          <w:ilvl w:val="3"/>
          <w:numId w:val="10"/>
        </w:numPr>
        <w:ind w:left="0" w:firstLine="709"/>
        <w:jc w:val="both"/>
        <w:rPr>
          <w:b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отсутствия сведений об участнике закупки или привлекаемом участником закупки субподрядчике (соисполнителе) из числа субъект</w:t>
      </w:r>
      <w:r>
        <w:rPr>
          <w:b/>
          <w:color w:val="ff0000"/>
          <w:sz w:val="28"/>
          <w:szCs w:val="28"/>
        </w:rPr>
        <w:t xml:space="preserve">ов МСП в едином реестре субъектов МСП и\или на официальном сайте федерального органа исполнительной власти, уполномоченного по контролю и надзору в области налогов и сборов, о применении физическим лицом налогового режима «Налог на профессиональный доход».</w:t>
      </w:r>
      <w:r>
        <w:rPr>
          <w:b/>
          <w:sz w:val="28"/>
          <w:szCs w:val="28"/>
        </w:rPr>
      </w:r>
    </w:p>
    <w:p>
      <w:pPr>
        <w:pStyle w:val="1071"/>
        <w:contextualSpacing w:val="0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Отклонение </w:t>
      </w:r>
      <w:r>
        <w:rPr>
          <w:rFonts w:ascii="Times New Roman" w:hAnsi="Times New Roman" w:cs="Times New Roman"/>
          <w:sz w:val="28"/>
          <w:szCs w:val="28"/>
        </w:rPr>
        <w:t xml:space="preserve">аукционных</w:t>
      </w:r>
      <w:r>
        <w:rPr>
          <w:rFonts w:ascii="Times New Roman" w:hAnsi="Times New Roman" w:cs="Times New Roman"/>
          <w:sz w:val="28"/>
          <w:szCs w:val="28"/>
        </w:rPr>
        <w:t xml:space="preserve"> заявок по иным основаниям не допускается.</w:t>
      </w:r>
      <w:r>
        <w:rPr>
          <w:rFonts w:ascii="Times New Roman" w:hAnsi="Times New Roman" w:eastAsia="MS Mincho" w:cs="Times New Roman"/>
          <w:b/>
          <w:color w:val="ff0000"/>
          <w:sz w:val="28"/>
          <w:szCs w:val="28"/>
        </w:rPr>
      </w:r>
    </w:p>
    <w:p>
      <w:pPr>
        <w:pStyle w:val="1071"/>
        <w:numPr>
          <w:ilvl w:val="2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eastAsia="MS Mincho" w:cs="Times New Roman"/>
          <w:sz w:val="28"/>
          <w:szCs w:val="28"/>
        </w:rPr>
        <w:t xml:space="preserve">В случае установления недостоверности информации, содержащейся в документах, представленных участником в составе заявки, заказчик обязан отстранить такого участника аукциона на любом этапе проведения аукциона.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pStyle w:val="1071"/>
        <w:numPr>
          <w:ilvl w:val="2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eastAsia="MS Mincho" w:cs="Times New Roman"/>
          <w:sz w:val="28"/>
          <w:szCs w:val="28"/>
        </w:rPr>
        <w:t xml:space="preserve">Заказчик рассматривает только те заявки в электронной форме, которые подписаны электронной подписью и направлены ему в установленные сроки.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pStyle w:val="1071"/>
        <w:numPr>
          <w:ilvl w:val="2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eastAsia="MS Mincho" w:cs="Times New Roman"/>
          <w:sz w:val="28"/>
          <w:szCs w:val="28"/>
        </w:rPr>
        <w:t xml:space="preserve">Электронные документы, заверенные электронной подписью, не рассматриваются, если нарушены правила использования электронной подписи, установленные законодательством Российской Федерации, в том числе, если </w:t>
      </w:r>
      <w:r>
        <w:rPr>
          <w:rFonts w:ascii="Times New Roman" w:hAnsi="Times New Roman" w:eastAsia="MS Mincho" w:cs="Times New Roman"/>
          <w:sz w:val="28"/>
          <w:szCs w:val="28"/>
        </w:rPr>
        <w:t xml:space="preserve">сертификат ключа подписи утратил силу, электронная подпись используется с превышением полномочий и/или устарели данные, представленные для выдачи сертификата ключа подписи (изменены реквизиты юридическ</w:t>
      </w:r>
      <w:r>
        <w:rPr>
          <w:rFonts w:ascii="Times New Roman" w:hAnsi="Times New Roman" w:eastAsia="MS Mincho" w:cs="Times New Roman"/>
          <w:sz w:val="28"/>
          <w:szCs w:val="28"/>
        </w:rPr>
        <w:t xml:space="preserve">ого/физического лица, полномочия должностного лица, которому выдан сертификат ключа подписи). Заказчик вправе требовать подтверждения по полученным электронным документам в случае сомнения в подлинности электронной подписи и правомерности ее использования.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pStyle w:val="1071"/>
        <w:numPr>
          <w:ilvl w:val="2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eastAsia="MS Mincho" w:cs="Times New Roman"/>
          <w:sz w:val="28"/>
          <w:szCs w:val="28"/>
        </w:rPr>
        <w:t xml:space="preserve">До истечения срока действия </w:t>
      </w:r>
      <w:r>
        <w:rPr>
          <w:rFonts w:ascii="Times New Roman" w:hAnsi="Times New Roman" w:eastAsia="MS Mincho" w:cs="Times New Roman"/>
          <w:sz w:val="28"/>
          <w:szCs w:val="28"/>
        </w:rPr>
        <w:t xml:space="preserve">аукционной заявки участнику может быть предложено продлить срок действия заявки и обеспечения аукционной заявки. Участники вправе отклонить такое предложение, не утрачивая права на обеспечение аукционной заявки (если в извещении и аукционной документации с</w:t>
      </w:r>
      <w:r>
        <w:rPr>
          <w:rFonts w:ascii="Times New Roman" w:hAnsi="Times New Roman" w:eastAsia="MS Mincho" w:cs="Times New Roman"/>
          <w:sz w:val="28"/>
          <w:szCs w:val="28"/>
        </w:rPr>
        <w:t xml:space="preserve">одержится требование о предоставлении обеспечения заявки). В случае отказа участника от продления срока действия заявки ему возвращаются денежные средства, перечисленные в качестве обеспечения заявки (в случае предоставления обеспечения заявки в форме внес</w:t>
      </w:r>
      <w:r>
        <w:rPr>
          <w:rFonts w:ascii="Times New Roman" w:hAnsi="Times New Roman" w:eastAsia="MS Mincho" w:cs="Times New Roman"/>
          <w:sz w:val="28"/>
          <w:szCs w:val="28"/>
        </w:rPr>
        <w:t xml:space="preserve">ения денежных средств), возвращается банковская гарантия в порядке, предусмотренном аукционной документацией (в случае предоставления обеспечения гарантии в форме банковской гарантии), а аукционная заявка такого участника отклоняется от участия в аукционе.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pStyle w:val="1071"/>
        <w:numPr>
          <w:ilvl w:val="2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 вправе до даты проведения аукциона в письменной форме запросить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участников аукциона информацию и документы, необходимые д</w:t>
      </w:r>
      <w:r>
        <w:rPr>
          <w:rFonts w:ascii="Times New Roman" w:hAnsi="Times New Roman" w:cs="Times New Roman"/>
          <w:sz w:val="28"/>
          <w:szCs w:val="28"/>
        </w:rPr>
        <w:t xml:space="preserve">ля подтверждения соответствия участника, товаров, работ, услуг, предлагаемых в соответствии с заявкой такого участника, предъявляемым требованиям, изложенным в аукционной документации. При этом не допускается изменение и (или) дополнение заявок участников.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 от участника аукциона, полученный после даты, указанной в запросе, не подлежит рассмотрению.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pStyle w:val="1071"/>
        <w:numPr>
          <w:ilvl w:val="2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 вправе до даты проведения аукциона в письменной форме запросить у государственных и иных учреждений, юридическ</w:t>
      </w:r>
      <w:r>
        <w:rPr>
          <w:rFonts w:ascii="Times New Roman" w:hAnsi="Times New Roman" w:cs="Times New Roman"/>
          <w:sz w:val="28"/>
          <w:szCs w:val="28"/>
        </w:rPr>
        <w:t xml:space="preserve">их и физических лиц информацию и документы, необходимые для подтверждения достоверности сведений, представленных в составе заявки, а также для подтверждения соответствия участника, предлагаемых им товаров, работ, услуг, требованиям аукционной документации.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pStyle w:val="1071"/>
        <w:numPr>
          <w:ilvl w:val="2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 вправе проверять достоверность сведений, информации и документов,</w:t>
      </w:r>
      <w:r>
        <w:rPr>
          <w:rFonts w:ascii="Times New Roman" w:hAnsi="Times New Roman" w:cs="Times New Roman"/>
          <w:sz w:val="28"/>
          <w:szCs w:val="28"/>
        </w:rPr>
        <w:t xml:space="preserve"> содержащихся в заявках участников, путем получения сведений из любых официальных источников, использование которых не противоречит законодательству Российской Федерации, в том числе официальных сайтов государственных органов и организаций в сети Интернет.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pStyle w:val="1071"/>
        <w:numPr>
          <w:ilvl w:val="2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ходе рассмотрения заявок не подлежит оглашению. Попытки участников получить такую информацию до размещения протокола на сайтах служат основанием для отклонения аукционных заявок таких участников.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pStyle w:val="1071"/>
        <w:numPr>
          <w:ilvl w:val="2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аукционных заявок заказчик принимает решение о допуске (отказе в допуске) участника аукциона к участию в аукционе.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pStyle w:val="1071"/>
        <w:numPr>
          <w:ilvl w:val="2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наличии информации и документов, подтверждающих, что товары, работы, услуги, предлагаемые в соответствии с заявкой участника, не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соответствуют требованиям, изложенным в аукционной документации, заявка участника отклоняется.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pStyle w:val="1071"/>
        <w:numPr>
          <w:ilvl w:val="2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 рассматривает аукционные заявки на предмет их соответствия требованиям аукционной документации. 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pStyle w:val="1071"/>
        <w:numPr>
          <w:ilvl w:val="2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 может не принимать во внимание мелкие погрешности, несоответствия, неточности в аукционной заявке, которые существенно не влияют на ее содержание (при соблюдении равенства всех участников аукциона), при рассмотрении аукционных заявок.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pStyle w:val="1071"/>
        <w:numPr>
          <w:ilvl w:val="2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 вправе допустить участника к участию в аукционе в случае, если участник или его аукционная заявка не соответствуют требованиям аукционной документации, но выявленны</w:t>
      </w:r>
      <w:r>
        <w:rPr>
          <w:rFonts w:ascii="Times New Roman" w:hAnsi="Times New Roman" w:cs="Times New Roman"/>
          <w:sz w:val="28"/>
          <w:szCs w:val="28"/>
        </w:rPr>
        <w:t xml:space="preserve">е недостатки носят формальный характер и не влияют на содержание и условия заявки на участие в аукционе, а также на условия исполнения договора и не влекут рисков неисполнения обязательств, принятых таким участником в соответствии с его аукционной заявкой.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pStyle w:val="1071"/>
        <w:numPr>
          <w:ilvl w:val="2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 аукционной заявке имеются расхождения между обозначением сумм словами и цифрами, то к рассмотрению принимается сумма, указанная словами.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pStyle w:val="1071"/>
        <w:numPr>
          <w:ilvl w:val="2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наличии арифметических ошибок в заявке заказчик может принять решение об отклонении аукционной заявки.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pStyle w:val="1071"/>
        <w:numPr>
          <w:ilvl w:val="2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рассмотрения аукционных заявок заказчик вправе затребовать от участников аукциона разъяснения положений аукционных заявок. 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pStyle w:val="1071"/>
        <w:numPr>
          <w:ilvl w:val="2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и их представители не вправе участвовать в рассмотрении аукционных заявок и изучении квалификации участников.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pStyle w:val="1071"/>
        <w:numPr>
          <w:ilvl w:val="1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b/>
          <w:sz w:val="28"/>
          <w:szCs w:val="28"/>
        </w:rPr>
      </w:pPr>
      <w:r>
        <w:rPr>
          <w:rFonts w:ascii="Times New Roman" w:hAnsi="Times New Roman" w:eastAsia="MS Mincho" w:cs="Times New Roman"/>
          <w:b/>
          <w:sz w:val="28"/>
          <w:szCs w:val="28"/>
        </w:rPr>
        <w:t xml:space="preserve">Рассмотрение первых частей аукционных заявок</w:t>
      </w:r>
      <w:r>
        <w:rPr>
          <w:rFonts w:ascii="Times New Roman" w:hAnsi="Times New Roman" w:eastAsia="MS Mincho" w:cs="Times New Roman"/>
          <w:b/>
          <w:sz w:val="28"/>
          <w:szCs w:val="28"/>
        </w:rPr>
      </w:r>
    </w:p>
    <w:p>
      <w:pPr>
        <w:pStyle w:val="1109"/>
        <w:numPr>
          <w:ilvl w:val="2"/>
          <w:numId w:val="10"/>
        </w:numPr>
        <w:ind w:left="0" w:firstLine="709"/>
        <w:spacing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Рассмотрение первых частей аукционных заявок осуществляется в порядке, установленном пунктом 6.6 аукционной документации с учетом особенностей, предусмотренных настоящим пунктом аукционной документации.</w:t>
      </w:r>
      <w:r>
        <w:rPr>
          <w:color w:val="000000"/>
          <w:szCs w:val="28"/>
        </w:rPr>
      </w:r>
    </w:p>
    <w:p>
      <w:pPr>
        <w:pStyle w:val="1109"/>
        <w:numPr>
          <w:ilvl w:val="2"/>
          <w:numId w:val="10"/>
        </w:numPr>
        <w:ind w:left="0" w:firstLine="709"/>
        <w:spacing w:after="0" w:line="240" w:lineRule="auto"/>
        <w:widowControl w:val="off"/>
        <w:rPr>
          <w:color w:val="000000"/>
          <w:szCs w:val="28"/>
        </w:rPr>
      </w:pPr>
      <w:r>
        <w:rPr>
          <w:color w:val="000000"/>
          <w:szCs w:val="28"/>
        </w:rPr>
        <w:t xml:space="preserve">Первые части аукционных заявок рассматриваются на соответствие требованиям к поставляемому товару, выполняемым работам, оказываемым услугам, которые являются предметом аукциона, </w:t>
      </w:r>
      <w:r>
        <w:rPr>
          <w:szCs w:val="28"/>
        </w:rPr>
        <w:t xml:space="preserve">изложенным в пункте 3 аукционной </w:t>
      </w:r>
      <w:r>
        <w:rPr>
          <w:color w:val="000000"/>
          <w:szCs w:val="28"/>
        </w:rPr>
        <w:t xml:space="preserve">документации, на основании представленного в составе аукционной заявки технического предложения.</w:t>
      </w:r>
      <w:r>
        <w:rPr>
          <w:color w:val="000000"/>
          <w:szCs w:val="28"/>
        </w:rPr>
      </w:r>
    </w:p>
    <w:p>
      <w:pPr>
        <w:pStyle w:val="1071"/>
        <w:numPr>
          <w:ilvl w:val="2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результатам рассмотрения первых частей аукционных заявок заказчик принимает решение о соответствии участника требованиям технического задания, соо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тветствии первой части заявки требованиям аукционной документации либо об отклонении аукционной заявки участника в связи с несоответствием требованиям технического задания, несоответствием первой части аукционной заявки требованиям аукционной документации.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pStyle w:val="1071"/>
        <w:numPr>
          <w:ilvl w:val="2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рассмотрения аукционных заявок заказчик составляет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протокол рассмотрения аукционных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заявок</w:t>
      </w:r>
      <w:r>
        <w:rPr>
          <w:rFonts w:ascii="Times New Roman" w:hAnsi="Times New Roman" w:cs="Times New Roman"/>
          <w:sz w:val="28"/>
          <w:szCs w:val="28"/>
        </w:rPr>
        <w:t xml:space="preserve">, в котором в том числе может содержаться следующая информация: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pStyle w:val="1109"/>
        <w:numPr>
          <w:ilvl w:val="3"/>
          <w:numId w:val="10"/>
        </w:numPr>
        <w:ind w:left="0" w:firstLine="709"/>
        <w:spacing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дата подписания протокола;</w:t>
      </w:r>
      <w:r>
        <w:rPr>
          <w:color w:val="000000"/>
          <w:szCs w:val="28"/>
        </w:rPr>
      </w:r>
    </w:p>
    <w:p>
      <w:pPr>
        <w:pStyle w:val="1109"/>
        <w:numPr>
          <w:ilvl w:val="3"/>
          <w:numId w:val="10"/>
        </w:numPr>
        <w:ind w:left="0" w:firstLine="709"/>
        <w:spacing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количество поданных на участие в аукционе заявок, а также дата и время регистрации каждой заявки на участие в аукционе;</w:t>
      </w:r>
      <w:r>
        <w:rPr>
          <w:color w:val="000000"/>
          <w:szCs w:val="28"/>
        </w:rPr>
      </w:r>
    </w:p>
    <w:p>
      <w:pPr>
        <w:pStyle w:val="1109"/>
        <w:numPr>
          <w:ilvl w:val="3"/>
          <w:numId w:val="10"/>
        </w:numPr>
        <w:ind w:left="0" w:firstLine="709"/>
        <w:spacing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результаты рассмотрения первых частей аукционных заявок с указанием в том числе:</w:t>
      </w:r>
      <w:r>
        <w:rPr>
          <w:color w:val="000000"/>
          <w:szCs w:val="28"/>
        </w:rPr>
      </w:r>
    </w:p>
    <w:p>
      <w:pPr>
        <w:pStyle w:val="1109"/>
        <w:ind w:firstLine="709"/>
        <w:spacing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а) решения комиссии о соответствии таких заявок требованиям технического задания аукционной документации;</w:t>
      </w:r>
      <w:r>
        <w:rPr>
          <w:color w:val="000000"/>
          <w:szCs w:val="28"/>
        </w:rPr>
      </w:r>
    </w:p>
    <w:p>
      <w:pPr>
        <w:pStyle w:val="1109"/>
        <w:ind w:firstLine="709"/>
        <w:spacing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б) количества аукционных заявок, которые отклонены;</w:t>
      </w:r>
      <w:r>
        <w:rPr>
          <w:color w:val="000000"/>
          <w:szCs w:val="28"/>
        </w:rPr>
      </w:r>
    </w:p>
    <w:p>
      <w:pPr>
        <w:pStyle w:val="1109"/>
        <w:ind w:firstLine="709"/>
        <w:spacing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в) оснований отклонения каждой аукционной заявки с указанием положений аукционной документации, которым не соответствует заявка на участие в аукционе;</w:t>
      </w:r>
      <w:r>
        <w:rPr>
          <w:color w:val="000000"/>
          <w:szCs w:val="28"/>
        </w:rPr>
      </w:r>
    </w:p>
    <w:p>
      <w:pPr>
        <w:pStyle w:val="1109"/>
        <w:numPr>
          <w:ilvl w:val="3"/>
          <w:numId w:val="10"/>
        </w:numPr>
        <w:ind w:left="0" w:firstLine="709"/>
        <w:spacing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заключение о взаимозаменяемости (эквивалентности) товаров, работ, услуг (при необходимости);</w:t>
      </w:r>
      <w:r>
        <w:rPr>
          <w:color w:val="000000"/>
          <w:szCs w:val="28"/>
        </w:rPr>
      </w:r>
    </w:p>
    <w:p>
      <w:pPr>
        <w:pStyle w:val="1109"/>
        <w:numPr>
          <w:ilvl w:val="3"/>
          <w:numId w:val="10"/>
        </w:numPr>
        <w:ind w:left="0" w:firstLine="709"/>
        <w:spacing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причины, по которым аукцион признан несостоявшимся, в случае его признания таковым.</w:t>
      </w:r>
      <w:r>
        <w:rPr>
          <w:color w:val="000000"/>
          <w:szCs w:val="28"/>
        </w:rPr>
      </w:r>
    </w:p>
    <w:p>
      <w:pPr>
        <w:pStyle w:val="1109"/>
        <w:numPr>
          <w:ilvl w:val="2"/>
          <w:numId w:val="10"/>
        </w:numPr>
        <w:ind w:left="0" w:firstLine="709"/>
        <w:spacing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Протокол рассмотрения первых частей аукционных заявок размещается на сайтах не позднее 3 (трех) дней с даты подписания протокола.</w:t>
      </w:r>
      <w:r>
        <w:rPr>
          <w:color w:val="000000"/>
          <w:szCs w:val="28"/>
        </w:rPr>
      </w:r>
    </w:p>
    <w:p>
      <w:pPr>
        <w:pStyle w:val="1071"/>
        <w:contextualSpacing w:val="0"/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eastAsia="MS Mincho" w:cs="Times New Roman"/>
          <w:sz w:val="28"/>
          <w:szCs w:val="28"/>
        </w:rPr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pStyle w:val="906"/>
        <w:numPr>
          <w:ilvl w:val="1"/>
          <w:numId w:val="10"/>
        </w:numPr>
        <w:ind w:left="0" w:firstLine="709"/>
        <w:jc w:val="both"/>
        <w:keepLines w:val="0"/>
        <w:spacing w:before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Рассмотрение вторых частей аукционных заявок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numPr>
          <w:ilvl w:val="2"/>
          <w:numId w:val="10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Рассмотрение вторых частей аукционных заявок осуществляется в порядке, установленном пунктом 6.6 аукционной документации с учетом особенностей, предусмотренных настоящим пунктом аукционной документации.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071"/>
        <w:numPr>
          <w:ilvl w:val="2"/>
          <w:numId w:val="10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результатам рассмотрения вторых частей аукционных заявок заказчик принимает решение о соответствии участн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ика обязательным и иным требованиям аукционной документации соответствии второй части его аукционной заявки требованиям аукционной документации или об отказе в допуске участника аукциона к участию в аукционе в связи с несоответствием указанным требованиям.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2"/>
          <w:numId w:val="10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итогам рассмотрения вторых частей аукционных заявок заказчик составляет протокол рассмотрения вторых частей заявок, в котором в том числе должна содержаться следующая информация: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071"/>
        <w:numPr>
          <w:ilvl w:val="3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дата подписания протокола;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071"/>
        <w:numPr>
          <w:ilvl w:val="3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поданных на участие в аукционе заявок, а также дата и время регистрации каждой аукционной заявки;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071"/>
        <w:numPr>
          <w:ilvl w:val="3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результаты рассмотрения вторых частей аукционных заявок с указанием в том числе: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а) решения комиссии о соответствии таких заявок требованиям аукционной документации;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 количества аукционных заявок, которые отклонены;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в) оснований отклонения каждой аукционной заявки с указанием положений аукционной документации, которым не соответствует аукционная заявка;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numPr>
          <w:ilvl w:val="2"/>
          <w:numId w:val="10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причины, по которым аукцион признан несостоявшимся, в случае его признания таковым.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numPr>
          <w:ilvl w:val="2"/>
          <w:numId w:val="10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Протокол рассмотрения вторых частей аукционных заявок размещается на сайтах не позднее 3 (трех) дней с даты подписания протокола.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6"/>
        <w:numPr>
          <w:ilvl w:val="1"/>
          <w:numId w:val="10"/>
        </w:numPr>
        <w:ind w:left="0" w:firstLine="709"/>
        <w:jc w:val="both"/>
        <w:keepLines w:val="0"/>
        <w:spacing w:before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Порядок проведения аукциона в электронной форме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071"/>
        <w:numPr>
          <w:ilvl w:val="2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Аукцион в электронной форме проводится в личном кабинете участника электронных процедур на электронной площадке путем снижения начальной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(максимальной) цены договора (цены лота), указанной в извещении и аукционной документации о проведении аукциона, на «шаг аукциона».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071"/>
        <w:numPr>
          <w:ilvl w:val="2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«Шаг аукциона» устанавливается в размере 0,5 – 5,0 процентов начальной (максимальной) цены договора (цены лота).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pStyle w:val="1071"/>
        <w:numPr>
          <w:ilvl w:val="2"/>
          <w:numId w:val="10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Аукцион в электронной форме проводится в следующем порядке: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116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аукцион начинается в дату и время, указанные в извещении о его проведении;</w:t>
      </w:r>
      <w:r>
        <w:rPr>
          <w:color w:val="000000"/>
          <w:sz w:val="28"/>
          <w:szCs w:val="28"/>
        </w:rPr>
      </w:r>
    </w:p>
    <w:p>
      <w:pPr>
        <w:pStyle w:val="1116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регистрационные номера участникам присваивает электронная площадка;</w:t>
      </w:r>
      <w:r>
        <w:rPr>
          <w:color w:val="000000"/>
          <w:sz w:val="28"/>
          <w:szCs w:val="28"/>
        </w:rPr>
      </w:r>
    </w:p>
    <w:p>
      <w:pPr>
        <w:pStyle w:val="1116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3) участники аукциона подают предложения о цене договора, предусматривающие снижение текущего минимально</w:t>
      </w:r>
      <w:r>
        <w:rPr>
          <w:color w:val="000000"/>
          <w:sz w:val="28"/>
          <w:szCs w:val="28"/>
        </w:rPr>
        <w:t xml:space="preserve">го предложения о цене договора на величину в пределах «шага аукциона». Участник вправе подать предложение о цене договора независимо от «шага аукциона» при условии соблюдения требований, указанных в подпунктах 5-7 настоящего пункта аукционной документации;</w:t>
      </w:r>
      <w:r>
        <w:rPr>
          <w:color w:val="000000"/>
          <w:sz w:val="28"/>
          <w:szCs w:val="28"/>
        </w:rPr>
      </w:r>
    </w:p>
    <w:p>
      <w:pPr>
        <w:pStyle w:val="1116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4) при представлении участниками предложений по цене в электронной форме очередность представления предложений фиксируется автоматически;</w:t>
      </w:r>
      <w:r>
        <w:rPr>
          <w:color w:val="000000"/>
          <w:sz w:val="28"/>
          <w:szCs w:val="28"/>
        </w:rPr>
      </w:r>
    </w:p>
    <w:p>
      <w:pPr>
        <w:pStyle w:val="1116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5) участник аукциона не вправе подать предложение о цене договора, равное ранее поданному этим участником предложению о цене договора или большее чем оно, а также предложение о цене договора, равное нулю;</w:t>
      </w:r>
      <w:r>
        <w:rPr>
          <w:color w:val="000000"/>
          <w:sz w:val="28"/>
          <w:szCs w:val="28"/>
        </w:rPr>
      </w:r>
    </w:p>
    <w:p>
      <w:pPr>
        <w:pStyle w:val="1116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6) участник не вправе подать предложение о цене договора, которое ниже, чем текущее минимальное предложение о цене договора, сниженное в пределах шага аукциона;</w:t>
      </w:r>
      <w:r>
        <w:rPr>
          <w:color w:val="000000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7) участник аукциона не вправе подать предложение о цене договора, которое ниже, чем текущее минимальное предложение о цене договора в случае, если оно подано таким участником аукциона.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071"/>
        <w:numPr>
          <w:ilvl w:val="2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момента начала проведения аукциона до его окончания на электронной странице данного аукциона указываются все предложения о цене договора (цене лота) и время их поступления.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071"/>
        <w:numPr>
          <w:ilvl w:val="2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если была предложена цена договора (цена лота), сниженная в соответствии с «шагом аукциона», равная цене, предложенной другим участником аукциона, электронная площадка фиксирует предложение о цене договора (цене лота), поступившее ранее других предложений.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071"/>
        <w:numPr>
          <w:ilvl w:val="2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MS Mincho" w:cs="Times New Roman"/>
          <w:color w:val="000000"/>
          <w:sz w:val="28"/>
          <w:szCs w:val="28"/>
        </w:rPr>
        <w:t xml:space="preserve">В случае, если в ходе проведения аукциона участник не предста</w:t>
      </w:r>
      <w:r>
        <w:rPr>
          <w:rFonts w:ascii="Times New Roman" w:hAnsi="Times New Roman" w:eastAsia="MS Mincho" w:cs="Times New Roman"/>
          <w:color w:val="000000"/>
          <w:sz w:val="28"/>
          <w:szCs w:val="28"/>
        </w:rPr>
        <w:t xml:space="preserve">вил ценовое предложение, ценовое предложение такого участника считается равным начальной (максимальной) цене договора (лота). При равенстве ценовых предложений участников победителем закупки признается участник, чья заявка была подана ранее других заявок,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условии, что заявка такого участника соответствует требованиям, изложенным в аукционной документации</w:t>
      </w:r>
      <w:r>
        <w:rPr>
          <w:rFonts w:ascii="Times New Roman" w:hAnsi="Times New Roman" w:eastAsia="MS Mincho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071"/>
        <w:numPr>
          <w:ilvl w:val="2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Аукцион считается оконченным, если по истечении времени, установленного нормативными документами электронной площадкой, размещенными на сайте такой электронной площадки, после последнего предложения о цене договора (цене лота) ни один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из участников не предложил новую цену договора. В этом случае открытый аукцион прекращается. Электронная площадка фиксирует последнее и предпоследнее предложения по цене договора (цене лота) и регистрационные номера участников, сделавших такие предложения.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109"/>
        <w:numPr>
          <w:ilvl w:val="2"/>
          <w:numId w:val="10"/>
        </w:numPr>
        <w:ind w:left="0" w:firstLine="709"/>
        <w:spacing w:after="0" w:line="240" w:lineRule="auto"/>
        <w:rPr>
          <w:szCs w:val="28"/>
        </w:rPr>
      </w:pPr>
      <w:r>
        <w:rPr>
          <w:szCs w:val="28"/>
        </w:rPr>
        <w:t xml:space="preserve">Если пунктом 1.10 закупочной документации установлен приоритет товаров </w:t>
      </w:r>
      <w:r>
        <w:rPr>
          <w:bCs/>
          <w:szCs w:val="28"/>
        </w:rPr>
        <w:t xml:space="preserve">российского происхождения, работ, услуг, выполняемых, оказывае</w:t>
      </w:r>
      <w:r>
        <w:rPr>
          <w:bCs/>
          <w:szCs w:val="28"/>
        </w:rPr>
        <w:t xml:space="preserve">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лицами, то оценка конкурсных заявок осуществляется с учетом требований данного пункта закупочной документации.</w:t>
      </w:r>
      <w:r>
        <w:rPr>
          <w:szCs w:val="28"/>
        </w:rPr>
      </w:r>
    </w:p>
    <w:p>
      <w:pPr>
        <w:pStyle w:val="1071"/>
        <w:numPr>
          <w:ilvl w:val="2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проведении аукциона какие-либо переговоры с участниками не допускаются в случае, если в результате таких переговоров создаются преимущественные условия для участия в аукционе и/или условия для разглашения конфиденциальных сведений.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071"/>
        <w:numPr>
          <w:ilvl w:val="2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аукциона признается участник, предложивший наиболее низкую цену договора (цену лота), или, если при проведении аукциона цена договора (цена лота) снижена до нуля и аукцион проводится на право заключить договор, наиболее высокую цену договора (цену лота).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071"/>
        <w:numPr>
          <w:ilvl w:val="2"/>
          <w:numId w:val="10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о ходе аукциона отображается на странице аукциона на сайте </w:t>
      </w:r>
      <w:r>
        <w:rPr>
          <w:rFonts w:ascii="Times New Roman" w:hAnsi="Times New Roman" w:cs="Times New Roman"/>
          <w:sz w:val="28"/>
          <w:szCs w:val="28"/>
        </w:rPr>
        <w:t xml:space="preserve">электронной площадки.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06"/>
        <w:numPr>
          <w:ilvl w:val="1"/>
          <w:numId w:val="10"/>
        </w:numPr>
        <w:ind w:left="0" w:firstLine="709"/>
        <w:jc w:val="both"/>
        <w:keepLines w:val="0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Признание аукциона несостоявшимся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1109"/>
        <w:numPr>
          <w:ilvl w:val="2"/>
          <w:numId w:val="10"/>
        </w:numPr>
        <w:ind w:left="0" w:firstLine="709"/>
        <w:spacing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Аукцион </w:t>
      </w:r>
      <w:r>
        <w:rPr>
          <w:szCs w:val="28"/>
        </w:rPr>
        <w:t xml:space="preserve">(в том числе в части отдельных лотов) </w:t>
      </w:r>
      <w:r>
        <w:rPr>
          <w:color w:val="000000"/>
          <w:szCs w:val="28"/>
        </w:rPr>
        <w:t xml:space="preserve">признается несостоявшимся, если:</w:t>
      </w:r>
      <w:r>
        <w:rPr>
          <w:color w:val="000000"/>
          <w:szCs w:val="28"/>
        </w:rPr>
      </w:r>
    </w:p>
    <w:p>
      <w:pPr>
        <w:pStyle w:val="1109"/>
        <w:ind w:firstLine="709"/>
        <w:spacing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1) на участие в аукционе </w:t>
      </w:r>
      <w:r>
        <w:rPr>
          <w:szCs w:val="28"/>
        </w:rPr>
        <w:t xml:space="preserve">(в том числе в части отдельных лотов) </w:t>
      </w:r>
      <w:r>
        <w:rPr>
          <w:color w:val="000000"/>
          <w:szCs w:val="28"/>
        </w:rPr>
        <w:t xml:space="preserve">не подано ни одной аукционной заявки;</w:t>
      </w:r>
      <w:r>
        <w:rPr>
          <w:color w:val="000000"/>
          <w:szCs w:val="28"/>
        </w:rPr>
      </w:r>
    </w:p>
    <w:p>
      <w:pPr>
        <w:pStyle w:val="1109"/>
        <w:ind w:firstLine="709"/>
        <w:spacing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2) на участие в аукционе </w:t>
      </w:r>
      <w:r>
        <w:rPr>
          <w:szCs w:val="28"/>
        </w:rPr>
        <w:t xml:space="preserve">(в том числе в части отдельных лотов)</w:t>
      </w:r>
      <w:r>
        <w:rPr>
          <w:color w:val="000000"/>
          <w:szCs w:val="28"/>
        </w:rPr>
        <w:t xml:space="preserve"> подана одна аукционная заявка;</w:t>
      </w:r>
      <w:r>
        <w:rPr>
          <w:color w:val="000000"/>
          <w:szCs w:val="28"/>
        </w:rPr>
      </w:r>
    </w:p>
    <w:p>
      <w:pPr>
        <w:pStyle w:val="1109"/>
        <w:ind w:firstLine="709"/>
        <w:spacing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3) по итогам рассмотрения аукционных заявок к участию в аукционе </w:t>
      </w:r>
      <w:r>
        <w:rPr>
          <w:szCs w:val="28"/>
        </w:rPr>
        <w:t xml:space="preserve">(в том числе в части отдельных лотов) </w:t>
      </w:r>
      <w:r>
        <w:rPr>
          <w:color w:val="000000"/>
          <w:szCs w:val="28"/>
        </w:rPr>
        <w:t xml:space="preserve">допущен один участник;</w:t>
      </w:r>
      <w:r>
        <w:rPr>
          <w:color w:val="000000"/>
          <w:szCs w:val="28"/>
        </w:rPr>
      </w:r>
    </w:p>
    <w:p>
      <w:pPr>
        <w:pStyle w:val="1109"/>
        <w:ind w:firstLine="709"/>
        <w:spacing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4) ни один из участников не допущен к участию в аукционе </w:t>
      </w:r>
      <w:r>
        <w:rPr>
          <w:szCs w:val="28"/>
        </w:rPr>
        <w:t xml:space="preserve">(в том числе в части отдельных лотов)</w:t>
      </w:r>
      <w:r>
        <w:rPr>
          <w:color w:val="000000"/>
          <w:szCs w:val="28"/>
        </w:rPr>
        <w:t xml:space="preserve">;</w:t>
      </w:r>
      <w:r>
        <w:rPr>
          <w:color w:val="000000"/>
          <w:szCs w:val="28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5) по результатам проведения аукциона от заключения договора уклонились все участники аукциона.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pStyle w:val="1109"/>
        <w:numPr>
          <w:ilvl w:val="2"/>
          <w:numId w:val="10"/>
        </w:numPr>
        <w:ind w:left="0" w:firstLine="709"/>
        <w:spacing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Если аукцион </w:t>
      </w:r>
      <w:r>
        <w:rPr>
          <w:szCs w:val="28"/>
        </w:rPr>
        <w:t xml:space="preserve">(в том числе в части отдельных лотов) </w:t>
      </w:r>
      <w:r>
        <w:rPr>
          <w:color w:val="000000"/>
          <w:szCs w:val="28"/>
        </w:rPr>
        <w:t xml:space="preserve">признан несостоявшимся, заказчик вправе объявить новый аукцион </w:t>
      </w:r>
      <w:r>
        <w:rPr>
          <w:szCs w:val="28"/>
        </w:rPr>
        <w:t xml:space="preserve">(в том числе в части отдельных лотов) </w:t>
      </w:r>
      <w:r>
        <w:rPr>
          <w:color w:val="000000"/>
          <w:szCs w:val="28"/>
        </w:rPr>
        <w:t xml:space="preserve">или осуществить закупку другим способом.</w:t>
      </w:r>
      <w:r>
        <w:rPr>
          <w:color w:val="000000"/>
          <w:szCs w:val="28"/>
        </w:rPr>
      </w:r>
    </w:p>
    <w:p>
      <w:pPr>
        <w:pStyle w:val="1109"/>
        <w:ind w:left="709" w:firstLine="0"/>
        <w:spacing w:after="0" w:line="240" w:lineRule="auto"/>
        <w:rPr>
          <w:color w:val="000000"/>
          <w:szCs w:val="28"/>
        </w:rPr>
      </w:pP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pStyle w:val="905"/>
        <w:numPr>
          <w:ilvl w:val="0"/>
          <w:numId w:val="10"/>
        </w:numPr>
        <w:ind w:left="0" w:firstLine="709"/>
        <w:jc w:val="both"/>
        <w:spacing w:before="0" w:after="0"/>
        <w:rPr>
          <w:rFonts w:cs="Times New Roman"/>
          <w:i w:val="0"/>
        </w:rPr>
      </w:pPr>
      <w:r>
        <w:rPr>
          <w:rFonts w:cs="Times New Roman"/>
          <w:i w:val="0"/>
        </w:rPr>
        <w:t xml:space="preserve">Аукционная заявка</w:t>
      </w:r>
      <w:r>
        <w:rPr>
          <w:rFonts w:cs="Times New Roman"/>
          <w:i w:val="0"/>
        </w:rPr>
      </w:r>
    </w:p>
    <w:p>
      <w:pPr>
        <w:pStyle w:val="906"/>
        <w:numPr>
          <w:ilvl w:val="1"/>
          <w:numId w:val="10"/>
        </w:numPr>
        <w:ind w:left="0" w:firstLine="709"/>
        <w:jc w:val="both"/>
        <w:keepLines w:val="0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Состав аукционной заявки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1109"/>
        <w:numPr>
          <w:ilvl w:val="2"/>
          <w:numId w:val="10"/>
        </w:numPr>
        <w:ind w:left="0" w:firstLine="709"/>
        <w:spacing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Аукционная заявка должна содержать всю требуемую в аукционной документации информацию и документы.</w:t>
      </w:r>
      <w:r>
        <w:rPr>
          <w:color w:val="000000"/>
          <w:szCs w:val="28"/>
        </w:rPr>
      </w:r>
    </w:p>
    <w:p>
      <w:pPr>
        <w:pStyle w:val="1109"/>
        <w:numPr>
          <w:ilvl w:val="2"/>
          <w:numId w:val="10"/>
        </w:numPr>
        <w:ind w:left="0" w:firstLine="709"/>
        <w:spacing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Аукционная заявка должна действовать не менее 120 (ста двадцати) дней с даты вскрытия заявок, установленной в пункте 1.7 аукционной документации.</w:t>
      </w:r>
      <w:r>
        <w:rPr>
          <w:color w:val="000000"/>
          <w:szCs w:val="28"/>
        </w:rPr>
      </w:r>
    </w:p>
    <w:p>
      <w:pPr>
        <w:pStyle w:val="1109"/>
        <w:numPr>
          <w:ilvl w:val="2"/>
          <w:numId w:val="10"/>
        </w:numPr>
        <w:ind w:left="0" w:firstLine="709"/>
        <w:spacing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Аукционная заявка оформляется в соответствии с требованиями аукционной документации.</w:t>
      </w:r>
      <w:r>
        <w:rPr>
          <w:color w:val="000000"/>
          <w:szCs w:val="28"/>
        </w:rPr>
      </w:r>
    </w:p>
    <w:p>
      <w:pPr>
        <w:pStyle w:val="1109"/>
        <w:numPr>
          <w:ilvl w:val="2"/>
          <w:numId w:val="10"/>
        </w:numPr>
        <w:ind w:left="0" w:firstLine="709"/>
        <w:spacing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Аукционная заявка участника, не соответствующая требованиям аукционной документации, отклоняется.</w:t>
      </w:r>
      <w:r>
        <w:rPr>
          <w:color w:val="000000"/>
          <w:szCs w:val="28"/>
        </w:rPr>
      </w:r>
    </w:p>
    <w:p>
      <w:pPr>
        <w:pStyle w:val="1109"/>
        <w:numPr>
          <w:ilvl w:val="2"/>
          <w:numId w:val="10"/>
        </w:numPr>
        <w:ind w:left="0" w:firstLine="709"/>
        <w:spacing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Аукционная заявка оформляется на русском языке. Если в составе аукционной заявки представляются док</w:t>
      </w:r>
      <w:r>
        <w:rPr>
          <w:color w:val="000000"/>
          <w:szCs w:val="28"/>
        </w:rPr>
        <w:t xml:space="preserve">ументы на иностранном языке, такие документы должны быть переведены на русский язык, а перевод заверен нотариально. При представлении заявки в электронной форме представляется копия, сканированная с нотариально заверенного перевода. Вся переписка, связанна</w:t>
      </w:r>
      <w:r>
        <w:rPr>
          <w:color w:val="000000"/>
          <w:szCs w:val="28"/>
        </w:rPr>
        <w:t xml:space="preserve">я с проведением аукциона, ведется на русском языке. В случае если для участия в аукционе иностранному лицу потребуется извещение, аукционная документация на иностранном языке, перевод на иностранный язык такое лицо осуществляет самостоятельно за свой счет.</w:t>
      </w:r>
      <w:r>
        <w:rPr>
          <w:color w:val="000000"/>
          <w:szCs w:val="28"/>
        </w:rPr>
      </w:r>
    </w:p>
    <w:p>
      <w:pPr>
        <w:pStyle w:val="1109"/>
        <w:numPr>
          <w:ilvl w:val="2"/>
          <w:numId w:val="10"/>
        </w:numPr>
        <w:ind w:left="0" w:firstLine="709"/>
        <w:spacing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Если </w:t>
      </w:r>
      <w:r>
        <w:rPr>
          <w:color w:val="000000"/>
          <w:szCs w:val="28"/>
        </w:rPr>
        <w:t xml:space="preserve">в составе заявки представлен документ, который не поддается прочтению (ввиду, например, низкого качества копирования/сканирования участником, представления участником поврежденного документа и др.), документ считается непредставленным и не рассматривается.</w:t>
      </w:r>
      <w:r>
        <w:rPr>
          <w:color w:val="000000"/>
          <w:szCs w:val="28"/>
        </w:rPr>
      </w:r>
    </w:p>
    <w:p>
      <w:pPr>
        <w:pStyle w:val="1109"/>
        <w:numPr>
          <w:ilvl w:val="2"/>
          <w:numId w:val="10"/>
        </w:numPr>
        <w:ind w:left="0" w:firstLine="709"/>
        <w:spacing w:after="0" w:line="240" w:lineRule="auto"/>
        <w:rPr>
          <w:b/>
          <w:color w:val="ff0000"/>
          <w:szCs w:val="28"/>
        </w:rPr>
      </w:pPr>
      <w:r>
        <w:rPr>
          <w:b/>
          <w:color w:val="ff0000"/>
          <w:szCs w:val="28"/>
        </w:rPr>
        <w:t xml:space="preserve">Заявка на участие в аукционе в электронной форме состоит из двух частей.</w:t>
      </w:r>
      <w:r>
        <w:rPr>
          <w:b/>
          <w:color w:val="ff0000"/>
          <w:szCs w:val="28"/>
        </w:rPr>
      </w:r>
    </w:p>
    <w:p>
      <w:pPr>
        <w:pStyle w:val="1109"/>
        <w:numPr>
          <w:ilvl w:val="2"/>
          <w:numId w:val="10"/>
        </w:numPr>
        <w:ind w:left="0" w:firstLine="709"/>
        <w:spacing w:after="0" w:line="240" w:lineRule="auto"/>
        <w:rPr>
          <w:b/>
          <w:color w:val="ff0000"/>
          <w:szCs w:val="28"/>
        </w:rPr>
      </w:pPr>
      <w:r>
        <w:rPr>
          <w:b/>
          <w:color w:val="ff0000"/>
          <w:szCs w:val="28"/>
        </w:rPr>
        <w:t xml:space="preserve">В первой части аукционной заявке должны быть представлены следующие документы:</w:t>
      </w:r>
      <w:r>
        <w:rPr>
          <w:b/>
          <w:color w:val="ff0000"/>
          <w:szCs w:val="28"/>
        </w:rPr>
      </w:r>
    </w:p>
    <w:p>
      <w:pPr>
        <w:pStyle w:val="1109"/>
        <w:numPr>
          <w:ilvl w:val="3"/>
          <w:numId w:val="10"/>
        </w:numPr>
        <w:ind w:left="0" w:firstLine="709"/>
        <w:spacing w:after="0" w:line="240" w:lineRule="auto"/>
        <w:tabs>
          <w:tab w:val="left" w:pos="0" w:leader="none"/>
          <w:tab w:val="left" w:pos="1080" w:leader="none"/>
        </w:tabs>
        <w:rPr>
          <w:b/>
          <w:i/>
          <w:color w:val="ff0000"/>
          <w:szCs w:val="28"/>
        </w:rPr>
      </w:pPr>
      <w:r>
        <w:rPr>
          <w:b/>
          <w:color w:val="ff0000"/>
          <w:szCs w:val="28"/>
        </w:rPr>
        <w:t xml:space="preserve">Предложение участника аукциона в отношении предмета закупки (техническое предложение), </w:t>
      </w:r>
      <w:r>
        <w:rPr>
          <w:rStyle w:val="1068"/>
          <w:sz w:val="28"/>
          <w:szCs w:val="28"/>
        </w:rPr>
        <w:t xml:space="preserve">оформленное </w:t>
      </w:r>
      <w:r>
        <w:rPr>
          <w:color w:val="000000"/>
          <w:szCs w:val="28"/>
        </w:rPr>
        <w:t xml:space="preserve">по форме Приложения № 5</w:t>
      </w:r>
      <w:r>
        <w:rPr>
          <w:color w:val="000000"/>
          <w:szCs w:val="28"/>
        </w:rPr>
        <w:t xml:space="preserve"> к аукционной документации. </w:t>
      </w:r>
      <w:r>
        <w:rPr>
          <w:rStyle w:val="1068"/>
          <w:sz w:val="28"/>
          <w:szCs w:val="28"/>
        </w:rPr>
        <w:t xml:space="preserve">В предложении участника должны быть изложены все условия,</w:t>
      </w:r>
      <w:r>
        <w:rPr>
          <w:rStyle w:val="1068"/>
          <w:i w:val="0"/>
          <w:sz w:val="28"/>
          <w:szCs w:val="28"/>
        </w:rPr>
        <w:t xml:space="preserve"> соответствующие требованиям технического</w:t>
      </w:r>
      <w:r>
        <w:rPr>
          <w:rStyle w:val="1068"/>
          <w:i w:val="0"/>
          <w:sz w:val="28"/>
          <w:szCs w:val="28"/>
        </w:rPr>
        <w:t xml:space="preserve"> задания, </w:t>
      </w:r>
      <w:r>
        <w:rPr>
          <w:i/>
          <w:color w:val="000000"/>
          <w:szCs w:val="28"/>
        </w:rPr>
        <w:t xml:space="preserve">либо более выгодные для заказчика</w:t>
      </w:r>
      <w:r>
        <w:rPr>
          <w:rStyle w:val="1068"/>
          <w:i w:val="0"/>
          <w:sz w:val="28"/>
          <w:szCs w:val="28"/>
        </w:rPr>
        <w:t xml:space="preserve">.</w:t>
      </w:r>
      <w:r>
        <w:rPr>
          <w:rFonts w:eastAsia="MS Mincho"/>
          <w:szCs w:val="28"/>
        </w:rPr>
        <w:t xml:space="preserve"> </w:t>
      </w:r>
      <w:r>
        <w:rPr>
          <w:b/>
          <w:i/>
          <w:color w:val="ff0000"/>
          <w:szCs w:val="28"/>
        </w:rPr>
      </w:r>
    </w:p>
    <w:p>
      <w:pPr>
        <w:pStyle w:val="1109"/>
        <w:ind w:firstLine="709"/>
        <w:spacing w:after="0" w:line="240" w:lineRule="auto"/>
        <w:tabs>
          <w:tab w:val="left" w:pos="0" w:leader="none"/>
          <w:tab w:val="left" w:pos="1080" w:leader="none"/>
        </w:tabs>
        <w:rPr>
          <w:b/>
          <w:szCs w:val="28"/>
        </w:rPr>
      </w:pPr>
      <w:r>
        <w:rPr>
          <w:b/>
          <w:szCs w:val="28"/>
        </w:rPr>
      </w:r>
      <w:r>
        <w:rPr>
          <w:b/>
          <w:szCs w:val="28"/>
        </w:rPr>
      </w:r>
    </w:p>
    <w:p>
      <w:pPr>
        <w:pStyle w:val="1109"/>
        <w:ind w:firstLine="709"/>
        <w:spacing w:after="0" w:line="240" w:lineRule="auto"/>
        <w:rPr>
          <w:b/>
          <w:color w:val="000000"/>
          <w:szCs w:val="28"/>
        </w:rPr>
      </w:pPr>
      <w:r>
        <w:rPr>
          <w:color w:val="000000"/>
          <w:szCs w:val="28"/>
        </w:rPr>
        <w:t xml:space="preserve">7.1.9 </w:t>
      </w:r>
      <w:r>
        <w:rPr>
          <w:b/>
          <w:color w:val="000000"/>
          <w:szCs w:val="28"/>
        </w:rPr>
        <w:t xml:space="preserve">Во второй части аукционной заявк</w:t>
      </w:r>
      <w:r>
        <w:rPr>
          <w:b/>
          <w:color w:val="000000"/>
          <w:szCs w:val="28"/>
        </w:rPr>
        <w:t xml:space="preserve">и</w:t>
      </w:r>
      <w:r>
        <w:rPr>
          <w:b/>
          <w:color w:val="000000"/>
          <w:szCs w:val="28"/>
        </w:rPr>
        <w:t xml:space="preserve"> должны быть представлены следующие документы:</w:t>
      </w:r>
      <w:r>
        <w:rPr>
          <w:b/>
          <w:color w:val="000000"/>
          <w:szCs w:val="28"/>
        </w:rPr>
      </w:r>
    </w:p>
    <w:p>
      <w:pPr>
        <w:pStyle w:val="1116"/>
        <w:numPr>
          <w:ilvl w:val="3"/>
          <w:numId w:val="11"/>
        </w:numPr>
        <w:ind w:left="0"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Заявка (по форме </w:t>
      </w:r>
      <w:r>
        <w:rPr>
          <w:sz w:val="28"/>
          <w:szCs w:val="28"/>
        </w:rPr>
        <w:t xml:space="preserve">приложения № 1 к документации</w:t>
      </w:r>
      <w:r>
        <w:rPr>
          <w:sz w:val="28"/>
          <w:szCs w:val="28"/>
        </w:rPr>
        <w:t xml:space="preserve">), </w:t>
      </w:r>
      <w:r>
        <w:rPr>
          <w:b/>
          <w:bCs/>
          <w:color w:val="ff0000"/>
          <w:sz w:val="28"/>
          <w:szCs w:val="28"/>
        </w:rPr>
        <w:t xml:space="preserve">подписанная участником закупки</w:t>
      </w:r>
      <w:r>
        <w:rPr>
          <w:color w:val="ff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и предусмотренное </w:t>
      </w:r>
      <w:r>
        <w:rPr>
          <w:b/>
          <w:bCs/>
          <w:color w:val="ff0000"/>
          <w:sz w:val="28"/>
          <w:szCs w:val="28"/>
        </w:rPr>
        <w:t xml:space="preserve">одним</w:t>
      </w:r>
      <w:r>
        <w:rPr>
          <w:color w:val="ff0000"/>
          <w:sz w:val="28"/>
          <w:szCs w:val="28"/>
        </w:rPr>
        <w:t xml:space="preserve"> из следующих пунктов </w:t>
      </w:r>
      <w:r>
        <w:rPr>
          <w:sz w:val="28"/>
          <w:szCs w:val="28"/>
        </w:rPr>
        <w:t xml:space="preserve">согласие Участника:</w:t>
      </w:r>
      <w:r>
        <w:rPr>
          <w:sz w:val="28"/>
          <w:szCs w:val="28"/>
        </w:rPr>
      </w:r>
    </w:p>
    <w:p>
      <w:pPr>
        <w:pStyle w:val="11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на выполнение работ или оказание услуг, указанных в аукционной документации, на условиях, предусмотренных проектом договора (в случае, если осуществляется закупка работ или услуг);</w:t>
      </w:r>
      <w:r>
        <w:rPr>
          <w:sz w:val="28"/>
          <w:szCs w:val="28"/>
        </w:rPr>
      </w:r>
    </w:p>
    <w:p>
      <w:pPr>
        <w:pStyle w:val="11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на постав</w:t>
      </w:r>
      <w:r>
        <w:rPr>
          <w:sz w:val="28"/>
          <w:szCs w:val="28"/>
        </w:rPr>
        <w:t xml:space="preserve">ку товара, который указан в аукционной документации и в отношении, которого в документации содержится указание на товарный знак, на условиях, предусмотренных проектом договора и не подлежащих изменению по результатам проведения закупки в электронной форме;</w:t>
      </w:r>
      <w:r>
        <w:rPr>
          <w:sz w:val="28"/>
          <w:szCs w:val="28"/>
        </w:rPr>
      </w:r>
    </w:p>
    <w:p>
      <w:pPr>
        <w:pStyle w:val="11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на поставку товара, который указан в аукционной документации и конкретные показатели которого соо</w:t>
      </w:r>
      <w:r>
        <w:rPr>
          <w:sz w:val="28"/>
          <w:szCs w:val="28"/>
        </w:rPr>
        <w:t xml:space="preserve">тветствуют значениям эквивалентности, установленным в закупочной документации (в случае, если участник предлагает поставку товара, который является эквивалентным товару, указанному в закупочной документации), на условиях, предусмотренных проектом договора;</w:t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7.1.9.3. Документы (копии документов) и информация, в том числе подтверждающие соответствие участников установленным обязательным и квалификационным требованиям и условиям допуска к участию в аукционе: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наименование, фирменное наименование (при наличии), адрес юридического лица в пределах места нахождения юридического лица, учредительный документ, </w:t>
      </w:r>
      <w:r>
        <w:rPr>
          <w:sz w:val="28"/>
          <w:szCs w:val="28"/>
        </w:rPr>
        <w:t xml:space="preserve">если участником конкурентной закупки с участием субъектов малого и среднего предпринимательства является юридическое лицо;</w:t>
      </w:r>
      <w:r>
        <w:rPr>
          <w:sz w:val="28"/>
          <w:szCs w:val="28"/>
        </w:rPr>
      </w:r>
    </w:p>
    <w:p>
      <w:pPr>
        <w:pStyle w:val="11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фамилия, имя, отчество (при наличии), пасп</w:t>
      </w:r>
      <w:r>
        <w:rPr>
          <w:sz w:val="28"/>
          <w:szCs w:val="28"/>
        </w:rPr>
        <w:t xml:space="preserve">ортные данные, адрес места жительства физического лица, зарегистрированного в качестве индивидуального предпринимателя, если участником конкурентной закупки с участием субъектов малого и среднего предпринимательства является индивидуальный предприниматель;</w:t>
      </w:r>
      <w:r>
        <w:rPr>
          <w:sz w:val="28"/>
          <w:szCs w:val="28"/>
        </w:rPr>
      </w:r>
    </w:p>
    <w:p>
      <w:pPr>
        <w:pStyle w:val="11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идентификационный номер налогопл</w:t>
      </w:r>
      <w:r>
        <w:rPr>
          <w:sz w:val="28"/>
          <w:szCs w:val="28"/>
        </w:rPr>
        <w:t xml:space="preserve">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(для иностранного лица);</w:t>
      </w:r>
      <w:r>
        <w:rPr>
          <w:sz w:val="28"/>
          <w:szCs w:val="28"/>
        </w:rPr>
      </w:r>
    </w:p>
    <w:p>
      <w:pPr>
        <w:pStyle w:val="11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идентификационный номер налогоплательщика (при наличии) учредителей, членов коллегиального исполнительного органа, лица, исполняющего функции единоличного исполнительного органа юридического лица, если учас</w:t>
      </w:r>
      <w:r>
        <w:rPr>
          <w:sz w:val="28"/>
          <w:szCs w:val="28"/>
        </w:rPr>
        <w:t xml:space="preserve">тником конкурентной закупки с участием субъектов малого и среднего предпринимательства является юридическое лицо, или в соответствии с законодательством соответствующего иностранного государства аналог идентификационного номера налогоплательщика таких лиц;</w:t>
      </w:r>
      <w:r>
        <w:rPr>
          <w:sz w:val="28"/>
          <w:szCs w:val="28"/>
        </w:rPr>
      </w:r>
    </w:p>
    <w:p>
      <w:pPr>
        <w:pStyle w:val="11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копия документа, подтверждающего полномочия лица действовать от имени участника конкурентной закупки с участием субъектов малого и среднего предпринимательства, за исключением случаев подписания заявки:</w:t>
      </w:r>
      <w:r>
        <w:rPr>
          <w:sz w:val="28"/>
          <w:szCs w:val="28"/>
        </w:rPr>
      </w:r>
    </w:p>
    <w:p>
      <w:pPr>
        <w:pStyle w:val="11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индивидуальным предпринимателем, если участником такой закупки является индивидуальный предприниматель;</w:t>
      </w:r>
      <w:r>
        <w:rPr>
          <w:sz w:val="28"/>
          <w:szCs w:val="28"/>
        </w:rPr>
      </w:r>
    </w:p>
    <w:p>
      <w:pPr>
        <w:pStyle w:val="11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лицом, указанным в едином государственном реестре юридических лиц в качестве лица, имеющего право без доверенности действовать от имени юридического лица (далее в настоящей статье - руководитель), если участником такой закупки является юридическое лицо;</w:t>
      </w:r>
      <w:r>
        <w:rPr>
          <w:sz w:val="28"/>
          <w:szCs w:val="28"/>
        </w:rPr>
      </w:r>
    </w:p>
    <w:p>
      <w:pPr>
        <w:pStyle w:val="11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копии документов, подтверждающих соответствие участника конкурентной закупки с участием субъектов малого и среднего предпринимательства требованиям, уст</w:t>
      </w:r>
      <w:r>
        <w:rPr>
          <w:sz w:val="28"/>
          <w:szCs w:val="28"/>
        </w:rPr>
        <w:t xml:space="preserve">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закупки, за исключением случая, предусмотренного подпунктом "е" пункта 9 настоящего пункта;</w:t>
      </w:r>
      <w:r>
        <w:rPr>
          <w:sz w:val="28"/>
          <w:szCs w:val="28"/>
        </w:rPr>
      </w:r>
    </w:p>
    <w:p>
      <w:pPr>
        <w:pStyle w:val="11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копия решения о согласии на совершение крупной сделки или о последующем одобрении этой сделки,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</w:t>
      </w:r>
      <w:r>
        <w:rPr>
          <w:sz w:val="28"/>
          <w:szCs w:val="28"/>
        </w:rPr>
        <w:t xml:space="preserve">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(если требование об обеспечении заявок установлено заказчиком в извещении об осуществлении такой заку</w:t>
      </w:r>
      <w:r>
        <w:rPr>
          <w:sz w:val="28"/>
          <w:szCs w:val="28"/>
        </w:rPr>
        <w:t xml:space="preserve">пки, документации о конкурентной закупке), обеспечения исполнения договора (если требование об обеспечении исполнения договора установлено заказчиком в извещении об осуществлении такой закупки, документации о конкурентной закупке) является крупной сделкой;</w:t>
      </w:r>
      <w:r>
        <w:rPr>
          <w:sz w:val="28"/>
          <w:szCs w:val="28"/>
        </w:rPr>
      </w:r>
    </w:p>
    <w:p>
      <w:pPr>
        <w:pStyle w:val="11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информаци</w:t>
      </w:r>
      <w:r>
        <w:rPr>
          <w:sz w:val="28"/>
          <w:szCs w:val="28"/>
        </w:rPr>
        <w:t xml:space="preserve">я и документы об обеспечении заявки на участие в конкурентной закупке с участием субъектов малого и среднего предпринимательства, если соответствующее требование предусмотрено извещением об осуществлении такой закупки, документацией о конкурентной закупке:</w:t>
      </w:r>
      <w:r>
        <w:rPr>
          <w:sz w:val="28"/>
          <w:szCs w:val="28"/>
        </w:rPr>
      </w:r>
    </w:p>
    <w:p>
      <w:pPr>
        <w:pStyle w:val="11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>
        <w:rPr>
          <w:sz w:val="28"/>
          <w:szCs w:val="28"/>
        </w:rPr>
        <w:t xml:space="preserve">реквизиты специального банковского счета участника конкурентной закупки с участием субъектов малого и среднего предпринимательства, если обеспечение заявки на участие в такой закупке предоставляется участником такой закупки путем внесения денежных средств;</w:t>
      </w:r>
      <w:r>
        <w:rPr>
          <w:sz w:val="28"/>
          <w:szCs w:val="28"/>
        </w:rPr>
      </w:r>
    </w:p>
    <w:p>
      <w:pPr>
        <w:pStyle w:val="11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независимая гарантия или ее копия,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гарантия;</w:t>
      </w:r>
      <w:r>
        <w:rPr>
          <w:sz w:val="28"/>
          <w:szCs w:val="28"/>
        </w:rPr>
      </w:r>
    </w:p>
    <w:p>
      <w:pPr>
        <w:pStyle w:val="11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декларация, подтверждающая на дату подачи заявки на участие в конкурентной закупке с участием субъектов малого и среднего предпринимательства:</w:t>
      </w:r>
      <w:r>
        <w:rPr>
          <w:sz w:val="28"/>
          <w:szCs w:val="28"/>
        </w:rPr>
      </w:r>
    </w:p>
    <w:p>
      <w:pPr>
        <w:pStyle w:val="11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непроведение ликвидации участника кон</w:t>
      </w:r>
      <w:r>
        <w:rPr>
          <w:sz w:val="28"/>
          <w:szCs w:val="28"/>
        </w:rPr>
        <w:t xml:space="preserve">курентной закупки с участием субъектов малого и среднего предпринимательства - юридического лица и отсутствие решения арбитражного суда о признании участника такой закупки - юридического лица или индивидуального предпринимателя несостоятельным (банкротом);</w:t>
      </w:r>
      <w:r>
        <w:rPr>
          <w:sz w:val="28"/>
          <w:szCs w:val="28"/>
        </w:rPr>
      </w:r>
    </w:p>
    <w:p>
      <w:pPr>
        <w:pStyle w:val="11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>
        <w:rPr>
          <w:sz w:val="28"/>
          <w:szCs w:val="28"/>
        </w:rPr>
        <w:t xml:space="preserve">неприостановление</w:t>
      </w:r>
      <w:r>
        <w:rPr>
          <w:sz w:val="28"/>
          <w:szCs w:val="28"/>
        </w:rPr>
        <w:t xml:space="preserve"> деятельности участника конкурентной закупки с участием субъектов малого и среднего предпринимательства в порядке, установленном Кодексом Российской Федерации об административных правонарушениях;</w:t>
      </w:r>
      <w:r>
        <w:rPr>
          <w:sz w:val="28"/>
          <w:szCs w:val="28"/>
        </w:rPr>
      </w:r>
    </w:p>
    <w:p>
      <w:pPr>
        <w:pStyle w:val="11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отсутств</w:t>
      </w:r>
      <w:r>
        <w:rPr>
          <w:sz w:val="28"/>
          <w:szCs w:val="28"/>
        </w:rPr>
        <w:t xml:space="preserve">ие у участника конкурентной закупки с участием субъектов малого и среднего предпринимательства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</w:t>
      </w:r>
      <w:r>
        <w:rPr>
          <w:sz w:val="28"/>
          <w:szCs w:val="28"/>
        </w:rPr>
        <w:t xml:space="preserve">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</w:t>
      </w:r>
      <w:r>
        <w:rPr>
          <w:sz w:val="28"/>
          <w:szCs w:val="28"/>
        </w:rPr>
        <w:t xml:space="preserve">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</w:t>
      </w:r>
      <w:r>
        <w:rPr>
          <w:sz w:val="28"/>
          <w:szCs w:val="28"/>
        </w:rPr>
        <w:t xml:space="preserve">превышает двадцать пять процентов балансовой стоимости активов участника такой закупки, по данным бухгалтерской (финансовой) отчетности за последний отчетный период. Участник такой закупки считается соответствующим установленному требованию в случае, если </w:t>
      </w:r>
      <w:r>
        <w:rPr>
          <w:sz w:val="28"/>
          <w:szCs w:val="28"/>
        </w:rPr>
        <w:t xml:space="preserve">им в установленном порядке подано заявление об обжаловании указанных недоимки,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принято;</w:t>
      </w:r>
      <w:r>
        <w:rPr>
          <w:sz w:val="28"/>
          <w:szCs w:val="28"/>
        </w:rPr>
      </w:r>
    </w:p>
    <w:p>
      <w:pPr>
        <w:pStyle w:val="11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отсутствие у участника конкурентной закупки с участием субъектов малого и среднего предпринимательства - физического</w:t>
      </w:r>
      <w:r>
        <w:rPr>
          <w:sz w:val="28"/>
          <w:szCs w:val="28"/>
        </w:rPr>
        <w:t xml:space="preserve"> лица, зарегистрированного в качестве индивидуального предпринимателя,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</w:t>
      </w:r>
      <w:r>
        <w:rPr>
          <w:sz w:val="28"/>
          <w:szCs w:val="28"/>
        </w:rPr>
        <w:t xml:space="preserve">конкурентной закупки с участием субъектов малого и среднего предпринимательства неп</w:t>
      </w:r>
      <w:r>
        <w:rPr>
          <w:sz w:val="28"/>
          <w:szCs w:val="28"/>
        </w:rPr>
        <w:t xml:space="preserve">огашенной или неснятой судимости за преступления в сфере экономики и (или) преступления, предусмотренные статьями 289, 290, 291, 291.1 Уголовного кодекса Российской Федерации, а также неприменение в отношении указанных физических лиц наказания в виде лишен</w:t>
      </w:r>
      <w:r>
        <w:rPr>
          <w:sz w:val="28"/>
          <w:szCs w:val="28"/>
        </w:rPr>
        <w:t xml:space="preserve">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предметом осуществляемой закупки, и административного наказания в виде дисквалификации;</w:t>
      </w:r>
      <w:r>
        <w:rPr>
          <w:sz w:val="28"/>
          <w:szCs w:val="28"/>
        </w:rPr>
      </w:r>
    </w:p>
    <w:p>
      <w:pPr>
        <w:pStyle w:val="11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отсутствие фактов привлечения в течение двух лет до момента подачи заявки на участие в конкурентной закупке с участием субъектов малог</w:t>
      </w:r>
      <w:r>
        <w:rPr>
          <w:sz w:val="28"/>
          <w:szCs w:val="28"/>
        </w:rPr>
        <w:t xml:space="preserve">о и среднего предпринимательства участника такой закупки - юридического лица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правонарушениях;</w:t>
      </w:r>
      <w:r>
        <w:rPr>
          <w:sz w:val="28"/>
          <w:szCs w:val="28"/>
        </w:rPr>
      </w:r>
    </w:p>
    <w:p>
      <w:pPr>
        <w:pStyle w:val="11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соответствие участника конкурентной закупки с участи</w:t>
      </w:r>
      <w:r>
        <w:rPr>
          <w:sz w:val="28"/>
          <w:szCs w:val="28"/>
        </w:rPr>
        <w:t xml:space="preserve">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лицам, осуществляющим поставку товара, выполнение работы, оказание услуги, являющихся предметом закупки, </w:t>
      </w:r>
      <w:r>
        <w:rPr>
          <w:b/>
          <w:bCs/>
          <w:i/>
          <w:iCs/>
          <w:sz w:val="28"/>
          <w:szCs w:val="28"/>
        </w:rPr>
        <w:t xml:space="preserve">если в соответствии с законодательством</w:t>
      </w:r>
      <w:r>
        <w:rPr>
          <w:sz w:val="28"/>
          <w:szCs w:val="28"/>
        </w:rPr>
        <w:t xml:space="preserve"> Российской Федерации информация и документы, подтверждающие такое соответствие, содержатся в открытых</w:t>
      </w:r>
      <w:r>
        <w:rPr>
          <w:sz w:val="28"/>
          <w:szCs w:val="28"/>
        </w:rPr>
        <w:t xml:space="preserve"> и общедоступных государственных реестрах, размещенных в информационно-телекоммуникационной сети "Интернет" (с указанием адреса сайта или страницы сайта в информационно-телекоммуникационной сети "Интернет", на которых размещены эти информация и документы);</w:t>
      </w:r>
      <w:r>
        <w:rPr>
          <w:sz w:val="28"/>
          <w:szCs w:val="28"/>
        </w:rPr>
      </w:r>
    </w:p>
    <w:p>
      <w:pPr>
        <w:pStyle w:val="11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ж)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деятельности, </w:t>
      </w:r>
      <w:r>
        <w:rPr>
          <w:b/>
          <w:bCs/>
          <w:i/>
          <w:iCs/>
          <w:sz w:val="28"/>
          <w:szCs w:val="28"/>
        </w:rPr>
        <w:t xml:space="preserve">если </w:t>
      </w:r>
      <w:r>
        <w:rPr>
          <w:sz w:val="28"/>
          <w:szCs w:val="28"/>
        </w:rPr>
        <w:t xml:space="preserve">в связи с исполнением договора </w:t>
      </w:r>
      <w:r>
        <w:rPr>
          <w:b/>
          <w:bCs/>
          <w:i/>
          <w:iCs/>
          <w:sz w:val="28"/>
          <w:szCs w:val="28"/>
        </w:rPr>
        <w:t xml:space="preserve">заказчик приобретает права на такие результаты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pStyle w:val="11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з)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</w:t>
      </w:r>
      <w:r>
        <w:rPr>
          <w:b/>
          <w:bCs/>
          <w:i/>
          <w:iCs/>
          <w:sz w:val="28"/>
          <w:szCs w:val="28"/>
        </w:rPr>
        <w:t xml:space="preserve">в случае использования такого результата</w:t>
      </w:r>
      <w:r>
        <w:rPr>
          <w:sz w:val="28"/>
          <w:szCs w:val="28"/>
        </w:rPr>
        <w:t xml:space="preserve"> при исполнении договора;</w:t>
      </w:r>
      <w:r>
        <w:rPr>
          <w:sz w:val="28"/>
          <w:szCs w:val="28"/>
        </w:rPr>
      </w:r>
    </w:p>
    <w:p>
      <w:pPr>
        <w:pStyle w:val="1116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подается участником закупки в составе заявки с использованием программно-аппаратных средств ЭТП. </w:t>
      </w:r>
      <w:r>
        <w:rPr>
          <w:b/>
          <w:bCs/>
          <w:sz w:val="28"/>
          <w:szCs w:val="28"/>
        </w:rPr>
      </w:r>
    </w:p>
    <w:p>
      <w:pPr>
        <w:pStyle w:val="11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копии документов, подтверждающих соответствие товара, работы или услуги, являющихся предметом закупки, требованиям, установленным в соответствии с законодательством Российской Федерации </w:t>
      </w:r>
      <w:r>
        <w:rPr>
          <w:b/>
          <w:bCs/>
          <w:i/>
          <w:iCs/>
          <w:sz w:val="28"/>
          <w:szCs w:val="28"/>
        </w:rPr>
        <w:t xml:space="preserve">в случае</w:t>
      </w:r>
      <w:r>
        <w:rPr>
          <w:sz w:val="28"/>
          <w:szCs w:val="28"/>
        </w:rPr>
        <w:t xml:space="preserve">, если требования к данным товару, работе или услуге </w:t>
      </w:r>
      <w:r>
        <w:rPr>
          <w:b/>
          <w:bCs/>
          <w:i/>
          <w:iCs/>
          <w:sz w:val="28"/>
          <w:szCs w:val="28"/>
        </w:rPr>
        <w:t xml:space="preserve">установлены в соответствии с законодательством Российской Федерации</w:t>
      </w:r>
      <w:r>
        <w:rPr>
          <w:sz w:val="28"/>
          <w:szCs w:val="28"/>
        </w:rPr>
        <w:t xml:space="preserve"> и перечень таких документов предусмотрен документацией о конкурентной закупке. </w:t>
      </w:r>
      <w:r>
        <w:rPr>
          <w:sz w:val="28"/>
          <w:szCs w:val="28"/>
        </w:rPr>
      </w:r>
    </w:p>
    <w:p>
      <w:pPr>
        <w:pStyle w:val="11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 наименование страны происхождения поставляемого товара (при осуществлении закупки товара, в том числе поставляемого заказчику при выполнении закупаемых работ, оказании закупаемых услуг), по </w:t>
      </w:r>
      <w:r>
        <w:rPr>
          <w:sz w:val="28"/>
          <w:szCs w:val="28"/>
        </w:rPr>
        <w:t xml:space="preserve">форме приложения № 4 к аукционной документации.</w:t>
      </w:r>
      <w:r>
        <w:rPr>
          <w:sz w:val="28"/>
          <w:szCs w:val="28"/>
        </w:rPr>
      </w:r>
    </w:p>
    <w:p>
      <w:pPr>
        <w:pStyle w:val="1109"/>
        <w:ind w:firstLine="709"/>
        <w:spacing w:after="0" w:line="240" w:lineRule="auto"/>
        <w:rPr>
          <w:b/>
          <w:color w:val="000000"/>
          <w:szCs w:val="28"/>
        </w:rPr>
      </w:pPr>
      <w:r>
        <w:rPr>
          <w:b/>
          <w:color w:val="000000"/>
          <w:szCs w:val="28"/>
        </w:rPr>
      </w:r>
      <w:r>
        <w:rPr>
          <w:b/>
          <w:color w:val="000000"/>
          <w:szCs w:val="28"/>
        </w:rPr>
      </w:r>
    </w:p>
    <w:p>
      <w:pPr>
        <w:pStyle w:val="1109"/>
        <w:ind w:firstLine="709"/>
        <w:spacing w:after="0" w:line="240" w:lineRule="auto"/>
        <w:tabs>
          <w:tab w:val="left" w:pos="0" w:leader="none"/>
          <w:tab w:val="left" w:pos="1080" w:leader="none"/>
        </w:tabs>
        <w:rPr>
          <w:b/>
          <w:szCs w:val="28"/>
        </w:rPr>
      </w:pPr>
      <w:r>
        <w:rPr>
          <w:b/>
          <w:szCs w:val="28"/>
        </w:rPr>
        <w:t xml:space="preserve">Отнесение участника электронного аукциона к росс</w:t>
      </w:r>
      <w:r>
        <w:rPr>
          <w:b/>
          <w:szCs w:val="28"/>
        </w:rPr>
        <w:t xml:space="preserve">ийским или иностранным лицам осуществляется на основании документов участника электронного аукциона, содержащих информацию о месте регистрации (для юридических лиц и индивидуальных предпринимателей), документов, удостоверяющих личность (для физических лиц)</w:t>
      </w:r>
      <w:r>
        <w:rPr>
          <w:b/>
          <w:szCs w:val="28"/>
        </w:rPr>
        <w:t xml:space="preserve">.</w:t>
      </w:r>
      <w:r>
        <w:rPr>
          <w:b/>
          <w:szCs w:val="28"/>
        </w:rPr>
        <w:t xml:space="preserve"> </w:t>
      </w:r>
      <w:r>
        <w:rPr>
          <w:b/>
          <w:szCs w:val="28"/>
        </w:rPr>
      </w:r>
    </w:p>
    <w:p>
      <w:pPr>
        <w:pStyle w:val="1109"/>
        <w:ind w:firstLine="709"/>
        <w:spacing w:after="0" w:line="240" w:lineRule="auto"/>
        <w:rPr>
          <w:color w:val="000000"/>
          <w:szCs w:val="28"/>
        </w:rPr>
      </w:pP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pStyle w:val="1063"/>
        <w:ind w:firstLine="709"/>
        <w:jc w:val="both"/>
        <w:spacing w:before="0" w:after="0" w:line="240" w:lineRule="auto"/>
        <w:shd w:val="clear" w:color="auto" w:fill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Все документы в составе второй части заявки должны быть сканированы с оригинала и/или заверенных Участником закупки копий, если иное не предусмотрено аукционной документацией.</w:t>
      </w:r>
      <w:r>
        <w:rPr>
          <w:b/>
          <w:sz w:val="28"/>
          <w:szCs w:val="28"/>
        </w:rPr>
      </w:r>
    </w:p>
    <w:p>
      <w:pPr>
        <w:pStyle w:val="1063"/>
        <w:ind w:firstLine="709"/>
        <w:jc w:val="both"/>
        <w:spacing w:before="0" w:after="0" w:line="240" w:lineRule="auto"/>
        <w:shd w:val="clear" w:color="auto" w:fill="auto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06"/>
        <w:numPr>
          <w:ilvl w:val="1"/>
          <w:numId w:val="11"/>
        </w:numPr>
        <w:ind w:left="0" w:firstLine="709"/>
        <w:jc w:val="both"/>
        <w:keepLines w:val="0"/>
        <w:spacing w:before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Подача аукционных заявок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109"/>
        <w:numPr>
          <w:ilvl w:val="2"/>
          <w:numId w:val="27"/>
        </w:numPr>
        <w:ind w:left="0" w:firstLine="709"/>
        <w:spacing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Окончательная дата подачи аукционных заяво</w:t>
      </w:r>
      <w:r>
        <w:rPr>
          <w:color w:val="000000"/>
          <w:szCs w:val="28"/>
        </w:rPr>
        <w:t xml:space="preserve">к и, соответственно, дата вскрытия аукционных заявок могут быть перенесены на более поздний срок. Соответствующие изменения даты подачи аукционных заявок размещаются на сайтах. В этом случае срок действия аукционных заявок устанавливается в соответствии с </w:t>
      </w:r>
      <w:r>
        <w:rPr>
          <w:szCs w:val="28"/>
        </w:rPr>
        <w:t xml:space="preserve">пунктом 7.1.2 аукционной документации и не </w:t>
      </w:r>
      <w:r>
        <w:rPr>
          <w:color w:val="000000"/>
          <w:szCs w:val="28"/>
        </w:rPr>
        <w:t xml:space="preserve">сокращается.</w:t>
      </w:r>
      <w:r>
        <w:rPr>
          <w:b/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Продление сроков действия обеспечения аукционных заявок не требуется.</w:t>
      </w:r>
      <w:r>
        <w:rPr>
          <w:color w:val="000000"/>
          <w:szCs w:val="28"/>
        </w:rPr>
      </w:r>
    </w:p>
    <w:p>
      <w:pPr>
        <w:pStyle w:val="1109"/>
        <w:numPr>
          <w:ilvl w:val="2"/>
          <w:numId w:val="27"/>
        </w:numPr>
        <w:ind w:left="0" w:firstLine="709"/>
        <w:spacing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Каждый участник может подать только одну аукционную заявку. В случае если участник подает более одной аукционной заявки, а ранее поданные им аукционные заявки</w:t>
      </w:r>
      <w:r>
        <w:rPr>
          <w:b/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не отозваны, все аукционные заявки</w:t>
      </w:r>
      <w:r>
        <w:rPr>
          <w:b/>
          <w:i/>
          <w:color w:val="000000"/>
          <w:szCs w:val="28"/>
        </w:rPr>
        <w:t xml:space="preserve">,</w:t>
      </w:r>
      <w:r>
        <w:rPr>
          <w:color w:val="000000"/>
          <w:szCs w:val="28"/>
        </w:rPr>
        <w:t xml:space="preserve"> представленные участником, отклоняются.</w:t>
      </w:r>
      <w:r>
        <w:rPr>
          <w:color w:val="000000"/>
          <w:szCs w:val="28"/>
        </w:rPr>
      </w:r>
    </w:p>
    <w:p>
      <w:pPr>
        <w:pStyle w:val="1109"/>
        <w:numPr>
          <w:ilvl w:val="2"/>
          <w:numId w:val="27"/>
        </w:numPr>
        <w:ind w:left="0" w:firstLine="709"/>
        <w:spacing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Заявки принимаются до истечения срока подачи заявок (за исключением бумажной части заявки при проведении аукциона в электронной форме). По истечении срока подачи заявок заявки не принимаются.</w:t>
      </w:r>
      <w:r>
        <w:rPr>
          <w:color w:val="000000"/>
          <w:szCs w:val="28"/>
        </w:rPr>
      </w:r>
    </w:p>
    <w:p>
      <w:pPr>
        <w:pStyle w:val="1109"/>
        <w:numPr>
          <w:ilvl w:val="2"/>
          <w:numId w:val="27"/>
        </w:numPr>
        <w:ind w:left="0" w:firstLine="709"/>
        <w:spacing w:after="0" w:line="240" w:lineRule="auto"/>
        <w:rPr>
          <w:color w:val="000000"/>
          <w:szCs w:val="28"/>
        </w:rPr>
      </w:pPr>
      <w:r>
        <w:rPr>
          <w:bCs/>
          <w:color w:val="000000"/>
          <w:szCs w:val="28"/>
        </w:rPr>
        <w:t xml:space="preserve">Взаимодействие участников осуществляется </w:t>
      </w:r>
      <w:r>
        <w:rPr>
          <w:bCs/>
          <w:color w:val="000000"/>
          <w:szCs w:val="28"/>
        </w:rPr>
        <w:t xml:space="preserve">с контактным лицом, указанным в пункте 1.1.2 аукционной документации, в пределах и в порядке, установленных аукционной документацией. Подача заявок на участие в процедуре закупки, запросов осуществляется в порядке, установленном аукционной документацией.  </w:t>
      </w:r>
      <w:r>
        <w:rPr>
          <w:color w:val="000000"/>
          <w:szCs w:val="28"/>
        </w:rPr>
      </w:r>
    </w:p>
    <w:p>
      <w:pPr>
        <w:pStyle w:val="1109"/>
        <w:ind w:firstLine="709"/>
        <w:spacing w:after="0" w:line="240" w:lineRule="auto"/>
        <w:rPr>
          <w:color w:val="000000"/>
          <w:szCs w:val="28"/>
        </w:rPr>
      </w:pP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pStyle w:val="906"/>
        <w:numPr>
          <w:ilvl w:val="1"/>
          <w:numId w:val="27"/>
        </w:numPr>
        <w:ind w:left="0" w:firstLine="709"/>
        <w:jc w:val="both"/>
        <w:keepLines w:val="0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Изменение и отзыв аукционных заявок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1109"/>
        <w:numPr>
          <w:ilvl w:val="2"/>
          <w:numId w:val="27"/>
        </w:numPr>
        <w:ind w:left="0" w:firstLine="709"/>
        <w:spacing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Участник вправе изменить или отозвать поданную аукционную заявку в любое время до истечения срока подачи аукционных заявок, не утрачивая права на обеспечение.</w:t>
      </w:r>
      <w:r>
        <w:rPr>
          <w:color w:val="000000"/>
          <w:szCs w:val="28"/>
        </w:rPr>
      </w:r>
    </w:p>
    <w:p>
      <w:pPr>
        <w:pStyle w:val="1101"/>
        <w:numPr>
          <w:ilvl w:val="2"/>
          <w:numId w:val="27"/>
        </w:numPr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Никакие изменения не могут быть внесены в аукционную заявку после окончания срока подачи аукционных заявок.</w:t>
      </w:r>
      <w:r>
        <w:rPr>
          <w:color w:val="000000"/>
          <w:szCs w:val="28"/>
        </w:rPr>
      </w:r>
    </w:p>
    <w:p>
      <w:pPr>
        <w:pStyle w:val="1101"/>
        <w:numPr>
          <w:ilvl w:val="2"/>
          <w:numId w:val="27"/>
        </w:numPr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В случае изменения заявки датой подачи заявки на участие в аукционе считается дата подачи последних изменений.</w:t>
      </w:r>
      <w:r>
        <w:rPr>
          <w:color w:val="000000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06"/>
        <w:numPr>
          <w:ilvl w:val="0"/>
          <w:numId w:val="27"/>
        </w:numPr>
        <w:ind w:left="0" w:firstLine="709"/>
        <w:jc w:val="both"/>
        <w:keepLines w:val="0"/>
        <w:keepNext w:val="0"/>
        <w:spacing w:before="0" w:line="240" w:lineRule="auto"/>
        <w:widowControl w:val="o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Обеспечение аукционных заявок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071"/>
        <w:numPr>
          <w:ilvl w:val="1"/>
          <w:numId w:val="33"/>
        </w:numPr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bCs/>
          <w:color w:val="000000"/>
          <w:sz w:val="28"/>
          <w:szCs w:val="28"/>
        </w:rPr>
      </w:pPr>
      <w:r>
        <w:rPr>
          <w:rFonts w:ascii="Times New Roman" w:hAnsi="Times New Roman" w:eastAsia="MS Mincho" w:cs="Times New Roman"/>
          <w:bCs/>
          <w:color w:val="000000"/>
          <w:sz w:val="28"/>
          <w:szCs w:val="28"/>
        </w:rPr>
        <w:t xml:space="preserve">Обеспечение аукционн</w:t>
      </w:r>
      <w:r>
        <w:rPr>
          <w:rFonts w:ascii="Times New Roman" w:hAnsi="Times New Roman" w:eastAsia="MS Mincho" w:cs="Times New Roman"/>
          <w:bCs/>
          <w:color w:val="000000"/>
          <w:sz w:val="28"/>
          <w:szCs w:val="28"/>
        </w:rPr>
        <w:t xml:space="preserve">ой заявки может быть представлено как в форме внесения денежных средств, так и в форме независимой гарантии. Выбор способа обеспечения заявки на участие в аукционе осуществляется участником аукциона. Предоставление обеспечения иным способом не допускается.</w:t>
      </w:r>
      <w:r>
        <w:rPr>
          <w:rFonts w:ascii="Times New Roman" w:hAnsi="Times New Roman" w:eastAsia="MS Mincho" w:cs="Times New Roman"/>
          <w:bCs/>
          <w:color w:val="000000"/>
          <w:sz w:val="28"/>
          <w:szCs w:val="28"/>
        </w:rPr>
      </w:r>
    </w:p>
    <w:p>
      <w:pPr>
        <w:pStyle w:val="1071"/>
        <w:numPr>
          <w:ilvl w:val="1"/>
          <w:numId w:val="33"/>
        </w:numPr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bCs/>
          <w:color w:val="000000"/>
          <w:sz w:val="28"/>
          <w:szCs w:val="28"/>
        </w:rPr>
      </w:pPr>
      <w:r>
        <w:rPr>
          <w:rFonts w:ascii="Times New Roman" w:hAnsi="Times New Roman" w:eastAsia="MS Mincho" w:cs="Times New Roman"/>
          <w:bCs/>
          <w:color w:val="000000"/>
          <w:sz w:val="28"/>
          <w:szCs w:val="28"/>
        </w:rPr>
        <w:t xml:space="preserve">Денежные средства вносятся участником аукциона на специальный счет, открытый им в банке,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ключенном в перечень, определенный Правительством Российской Федерации в соответствии с Федеральным </w:t>
      </w:r>
      <w:hyperlink r:id="rId30" w:tooltip="consultantplus://offline/ref=5126373A6C0DC5BE1AE5BF247482912E1BCBC98009FFC480FB735D20C5DBt3K" w:history="1">
        <w:r>
          <w:rPr>
            <w:rFonts w:ascii="Times New Roman" w:hAnsi="Times New Roman" w:eastAsia="MS Mincho" w:cs="Times New Roman"/>
            <w:bCs/>
            <w:color w:val="000000"/>
            <w:sz w:val="28"/>
            <w:szCs w:val="28"/>
          </w:rPr>
          <w:t xml:space="preserve">законом</w:t>
        </w:r>
      </w:hyperlink>
      <w:r>
        <w:rPr>
          <w:rFonts w:ascii="Times New Roman" w:hAnsi="Times New Roman" w:eastAsia="MS Mincho" w:cs="Times New Roman"/>
          <w:bCs/>
          <w:color w:val="000000"/>
          <w:sz w:val="28"/>
          <w:szCs w:val="28"/>
        </w:rPr>
        <w:t xml:space="preserve"> от 5 апреля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013 года № 44-ФЗ «О контрактной системе в сфере закупок товаров, работ, услуг для обеспечения государственных и муниципальных нужд» (далее – специальный банковский счет).</w:t>
      </w:r>
      <w:r>
        <w:rPr>
          <w:rFonts w:ascii="Times New Roman" w:hAnsi="Times New Roman" w:eastAsia="MS Mincho" w:cs="Times New Roman"/>
          <w:bCs/>
          <w:color w:val="000000"/>
          <w:sz w:val="28"/>
          <w:szCs w:val="28"/>
        </w:rPr>
      </w:r>
    </w:p>
    <w:p>
      <w:pPr>
        <w:pStyle w:val="1071"/>
        <w:numPr>
          <w:ilvl w:val="1"/>
          <w:numId w:val="33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одного часа с момента окончания срока подачи заявок на участие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аукционе, установленного в части 2 аукционной документации, оператор электронной площадки направляет в банк информацию об участнике аукциона и размере денежных средств, необходимом для обеспечения заявки. Банк в течение одного часа с момента получения ук</w:t>
      </w:r>
      <w:r>
        <w:rPr>
          <w:rFonts w:ascii="Times New Roman" w:hAnsi="Times New Roman" w:eastAsia="MS Mincho" w:cs="Times New Roman"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занной информац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ии осуществляет блокирование при наличии на специальном банковском счете участника аукциона незаблокированных денежных средств в размере обеспечения аукционной заявки и информирует оператора электронной площадки. Блокирование денежных средств не осуществля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ется в случае отсутствия на специальном банковском счете участника аукциона денежных средств в размере для обеспечения аукционной заявки либо в случае приостановления операций по такому счету в соответствии с законодательством Российской Федерации, о чем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ператор электронной площадки информируется в течение одного часа. В случае, если блокирование денежных средств не может быть осуществлено оператор электронной площадки обязан вернуть аукционную заявку подавшему ее участнику в течение одного часа с момента </w:t>
      </w:r>
      <w:r>
        <w:rPr>
          <w:rFonts w:ascii="Times New Roman" w:hAnsi="Times New Roman" w:cs="Times New Roman"/>
          <w:sz w:val="28"/>
          <w:szCs w:val="28"/>
        </w:rPr>
        <w:t xml:space="preserve">получения соответствующей информации от банка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</w:r>
    </w:p>
    <w:p>
      <w:pPr>
        <w:pStyle w:val="1071"/>
        <w:numPr>
          <w:ilvl w:val="1"/>
          <w:numId w:val="33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Возврат участнику аукциона денежных средств, внесенных в качестве обеспечения заявки, не производится в следующих случаях: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</w:r>
    </w:p>
    <w:p>
      <w:pPr>
        <w:pStyle w:val="1071"/>
        <w:numPr>
          <w:ilvl w:val="2"/>
          <w:numId w:val="33"/>
        </w:numPr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уклонение или отказ участника аукциона от заключения договора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;</w:t>
      </w:r>
      <w:r>
        <w:rPr>
          <w:rFonts w:ascii="Times New Roman" w:hAnsi="Times New Roman" w:eastAsia="MS Mincho" w:cs="Times New Roman"/>
          <w:bCs/>
          <w:color w:val="000000"/>
          <w:sz w:val="28"/>
          <w:szCs w:val="28"/>
        </w:rPr>
      </w:r>
    </w:p>
    <w:p>
      <w:pPr>
        <w:pStyle w:val="1071"/>
        <w:numPr>
          <w:ilvl w:val="2"/>
          <w:numId w:val="33"/>
        </w:numPr>
        <w:ind w:left="0" w:firstLine="709"/>
        <w:jc w:val="both"/>
        <w:spacing w:after="0" w:line="240" w:lineRule="auto"/>
        <w:rPr>
          <w:rFonts w:ascii="Times New Roman" w:hAnsi="Times New Roman" w:eastAsia="MS Mincho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непредставление или предоставление с нарушением условий, установ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ленных аукционной документацией, до заключения договора заказчику обеспечения исполнения договора (в случае, если в извещении, аукционной документации установлены требования обеспечения исполнения договора и срок его предоставления до заключения договора).</w:t>
      </w:r>
      <w:r>
        <w:rPr>
          <w:rFonts w:ascii="Times New Roman" w:hAnsi="Times New Roman" w:eastAsia="MS Mincho" w:cs="Times New Roman"/>
          <w:bCs/>
          <w:color w:val="000000"/>
          <w:sz w:val="28"/>
          <w:szCs w:val="28"/>
        </w:rPr>
      </w:r>
    </w:p>
    <w:p>
      <w:pPr>
        <w:pStyle w:val="1071"/>
        <w:numPr>
          <w:ilvl w:val="1"/>
          <w:numId w:val="33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Оператор перечисляет денежные средства заказчику, в случаях, когда возврат участнику обеспечения заявки не производится согласно пункту 8.4 аукционной документации, на счет заказчика по следующим банковским реквизитам: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widowControl w:val="off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 xml:space="preserve">р/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сч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 40702810845029006328</w:t>
      </w:r>
      <w:r>
        <w:rPr>
          <w:rFonts w:ascii="Times New Roman" w:hAnsi="Times New Roman" w:cs="Times New Roman"/>
          <w:spacing w:val="-7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widowControl w:val="off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 xml:space="preserve">в  ПАО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«АК БАРС» Банк </w:t>
      </w:r>
      <w:r>
        <w:rPr>
          <w:rFonts w:ascii="Times New Roman" w:hAnsi="Times New Roman" w:cs="Times New Roman"/>
          <w:spacing w:val="-7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widowControl w:val="off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 xml:space="preserve">г. Казань, ул. 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Кремлевская  8</w:t>
      </w:r>
      <w:r>
        <w:rPr>
          <w:rFonts w:ascii="Times New Roman" w:hAnsi="Times New Roman" w:cs="Times New Roman"/>
          <w:spacing w:val="-7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tabs>
          <w:tab w:val="left" w:pos="321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БИК 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049205805</w:t>
      </w:r>
      <w:r>
        <w:rPr>
          <w:rFonts w:ascii="Times New Roman" w:hAnsi="Times New Roman" w:cs="Times New Roman"/>
          <w:spacing w:val="-7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к/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с  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30101810000000000805</w:t>
      </w:r>
      <w:r>
        <w:rPr>
          <w:rFonts w:ascii="Times New Roman" w:hAnsi="Times New Roman" w:cs="Times New Roman"/>
          <w:spacing w:val="-7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Наименование получателя денежных средств: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 xml:space="preserve">Акционерное общество «Содружество»</w:t>
      </w:r>
      <w:r>
        <w:rPr>
          <w:rFonts w:ascii="Times New Roman" w:hAnsi="Times New Roman" w:cs="Times New Roman"/>
          <w:spacing w:val="-5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Cs/>
          <w:color w:val="000000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Назначение платежа: удержание обеспечения заявки для участия в (вид процедуры) №_____/___-_____/__, № лота ___, ОКПО ________. Адрес: индекс ______, г. ________, ул. _____________, д. __, стр. __. НДС не облагается</w:t>
      </w:r>
      <w:r>
        <w:rPr>
          <w:rStyle w:val="1113"/>
          <w:rFonts w:ascii="Times New Roman" w:hAnsi="Times New Roman" w:cs="Times New Roman"/>
          <w:bCs/>
          <w:i/>
          <w:color w:val="000000"/>
          <w:sz w:val="28"/>
          <w:szCs w:val="28"/>
        </w:rPr>
        <w:footnoteReference w:id="2"/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071"/>
        <w:numPr>
          <w:ilvl w:val="1"/>
          <w:numId w:val="33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выборе способа обеспечения заявки в форме независимой гарантии участник должен предоставить независимую гарантию, соответствующую следующим требованиям: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071"/>
        <w:contextualSpacing w:val="0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8.7.1. независимая гаран</w:t>
      </w:r>
      <w:r>
        <w:rPr>
          <w:rFonts w:ascii="Times New Roman" w:hAnsi="Times New Roman" w:cs="Times New Roman"/>
          <w:sz w:val="28"/>
          <w:szCs w:val="28"/>
        </w:rPr>
        <w:t xml:space="preserve">тия должна быть выдана гарантом, включенным в перечень, предусмотренный частью 1 статьи 45 Федерального закона от 5 апреля 2013 года № 44-ФЗ «О контрактной системе в сфере закупок товаров, работ, услуг для обеспечения государственных и муниципальных нужд»;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numPr>
          <w:ilvl w:val="2"/>
          <w:numId w:val="3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независимая гарантия не может быть отозвана гарантом;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numPr>
          <w:ilvl w:val="2"/>
          <w:numId w:val="31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независимая гарантия должна содержать: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) условие об обязанности гаранта уплатить Заказчику (бенефициару) денежную сумму по независимой гарантии не позднее 10 (десяти) рабочих дней со дня, следующего з</w:t>
      </w:r>
      <w:r>
        <w:rPr>
          <w:rFonts w:ascii="Times New Roman" w:hAnsi="Times New Roman" w:cs="Times New Roman"/>
          <w:sz w:val="28"/>
          <w:szCs w:val="28"/>
        </w:rPr>
        <w:t xml:space="preserve">а днем получения гарантом требования заказчика (бенефициара), соответствующего условиям независимой гарантии, при отсутствии предусмотренных Гражданским кодексом Российской Федерации оснований для отказа в удовлетворении требования Заказчика (бенефициара);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перечень документов, подлежащих представлению Заказчиком (бенефициаром) гаранту одновременно с требованием об уплате денежной суммы по независимой гарантии,  предусмотренный пунктом 8 «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Положения о независимых гарантиях, предоставляемых в качестве обеспечения заявки на участие в конкурент</w:t>
      </w:r>
      <w:r>
        <w:rPr>
          <w:rFonts w:ascii="Times New Roman" w:hAnsi="Times New Roman" w:cs="Times New Roman"/>
          <w:bCs/>
          <w:sz w:val="28"/>
          <w:szCs w:val="28"/>
        </w:rPr>
        <w:t xml:space="preserve">ной закупке товаров, работ, услуг в электронной форме с участием субъектов малого и среднего предпринимательства, и независимых гарантиях, предоставляемых в качестве обеспечения исполнения договора, заключаемого по результатам такой закупки», утвержденного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9 августа 2022 г. № 1397;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указание на срок действия независимой гарантии, который не может составлять менее 1 (одного) месяца с даты окончания срока подачи заявок на участие в закупке;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обязанность гаранта в случае просрочки исполнения обязательств об уплате денежной суммы по независимой гарантии уплатить Заказчику (бенефициару) неустойку в размере 0,1% денежной суммы, подлежащей уплате, за каждый день просрочки;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8.7.4. следующие дополнительные требования: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условия о следующих правах заказчика (бенефициара):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предъявлять до окончания срока действи</w:t>
      </w:r>
      <w:r>
        <w:rPr>
          <w:rFonts w:ascii="Times New Roman" w:hAnsi="Times New Roman" w:cs="Times New Roman"/>
          <w:sz w:val="28"/>
          <w:szCs w:val="28"/>
        </w:rPr>
        <w:t xml:space="preserve">я независимой гарантии при наступлении случаев, предусмотренных пунктом 1.5.4 документации о закупке, требование об уплате денежной суммы по такой независимой гарантии в размере обеспечения заявки на участие в закупке, установленном в документации закупки;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направлять требован</w:t>
      </w:r>
      <w:r>
        <w:rPr>
          <w:rFonts w:ascii="Times New Roman" w:hAnsi="Times New Roman" w:cs="Times New Roman"/>
          <w:sz w:val="28"/>
          <w:szCs w:val="28"/>
        </w:rPr>
        <w:t xml:space="preserve">ие об уплате денежной суммы по независимой гарантии в письменной форме на бумажном носителе или в форме электронного документа, подписанного усиленной квалифицированной электронной подписью лица, имеющего право действовать от имени заказчика (бенефициара);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передавать право требования по независимой гарантии в случае перемены заказчика при осуществлении закупки, с предварительным извещением об этом гаранта;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условие об обязанности гаранта рассмотреть требование заказчика (бенефициара) об уплате денежной суммы по независимой гарантии не позднее 5 (пяти) рабочих дней со дня, следующего за днем получения такого</w:t>
      </w:r>
      <w:r>
        <w:rPr>
          <w:rFonts w:ascii="Times New Roman" w:hAnsi="Times New Roman" w:cs="Times New Roman"/>
          <w:sz w:val="28"/>
          <w:szCs w:val="28"/>
        </w:rPr>
        <w:t xml:space="preserve"> требования и документов, предусмотренных перечнем, указанным в пункте 8 «Положения о независимых гарантиях, предоставляемых в качестве обеспечения заявки на участие в конкурентной закупке товаров, работ, услуг в электронной форме с участием субъектов мало</w:t>
      </w:r>
      <w:r>
        <w:rPr>
          <w:rFonts w:ascii="Times New Roman" w:hAnsi="Times New Roman" w:cs="Times New Roman"/>
          <w:sz w:val="28"/>
          <w:szCs w:val="28"/>
        </w:rPr>
        <w:t xml:space="preserve">го и среднего предпринимательства, и независимых гарантиях, предоставляемых в качестве обеспечения исполнения договора, заключаемого по результатам такой закупки», утвержденного постановлением Правительства Российской Федерации от 9 августа 2022 г. № 1397;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условие о том, что расходы, возникающие в связи с перечислением гарантом денежных средств по независимой гарантии, несет гарант;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условие о том, что исключение банка (если независимая гарантия выдана банком) из перечня, предусмотренного частью 1.2 статьи 45 Федерального закона от 5 апреля 2013 года № 44-ФЗ «О контрактной системе в сфере закупок товаров, работ, услуг для обеспечен</w:t>
      </w:r>
      <w:r>
        <w:rPr>
          <w:rFonts w:ascii="Times New Roman" w:hAnsi="Times New Roman" w:cs="Times New Roman"/>
          <w:sz w:val="28"/>
          <w:szCs w:val="28"/>
        </w:rPr>
        <w:t xml:space="preserve">ия государственных и муниципальных нужд», фонда содействия кредитованию (гарантийного фонда, фонда поручительств), являющегося участником национальной гарантийной системы поддержки малого и среднего предпринимательства, предусмотренного Федеральным законом</w:t>
      </w:r>
      <w:r>
        <w:rPr>
          <w:rFonts w:ascii="Times New Roman" w:hAnsi="Times New Roman" w:cs="Times New Roman"/>
          <w:sz w:val="28"/>
          <w:szCs w:val="28"/>
        </w:rPr>
        <w:t xml:space="preserve"> от 24 июля 2007 г. № 209-ФЗ «О развитии малого и среднего предпринимательства в Российской Федерации» (если независимая гарантия выдана таким фондом), из перечня, предусмотренного частью 1.7 статьи 45 Федерального закона от 5 апреля 2013 года № 44-ФЗ «О к</w:t>
      </w:r>
      <w:r>
        <w:rPr>
          <w:rFonts w:ascii="Times New Roman" w:hAnsi="Times New Roman" w:cs="Times New Roman"/>
          <w:sz w:val="28"/>
          <w:szCs w:val="28"/>
        </w:rPr>
        <w:t xml:space="preserve">онтрактной системе в сфере закупок товаров, работ, услуг для обеспечения государственных и муниципальных нужд», не прекращает действия независимой гарантии и не освобождает гаранта от ответственности за неисполнение либо ненадлежащее исполнение ее условий;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условие о рассмотрении споров, возникающих в связи с исполнением обязательств по независимой гарантии, в арбитражном суде;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условие, согласно которому исполнением обязательств гаранта по независимой гарантии является фактическое поступление денежн</w:t>
      </w:r>
      <w:r>
        <w:rPr>
          <w:rFonts w:ascii="Times New Roman" w:hAnsi="Times New Roman" w:cs="Times New Roman"/>
          <w:sz w:val="28"/>
          <w:szCs w:val="28"/>
        </w:rPr>
        <w:t xml:space="preserve">ых сумм на счет, на котором в соответствии с законодательством Российской Федерации учитываются операции со средствами, поступающими заказчику (бенефициару), указанный заказчиком (бенефициаром) в требовании об уплате денежной суммы по независимой гарантии;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8.7.5.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Независимая гарантия не должна содержать условия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предусматривающие или влекущие представление заказчиком (бенефициаром) гаранту одновременно с требованием об уплате денежной суммы по независимой гарантии документов, не предусмотренных перечнем, указанным в </w:t>
      </w:r>
      <w:r>
        <w:rPr>
          <w:rFonts w:ascii="Times New Roman" w:hAnsi="Times New Roman" w:cs="Times New Roman"/>
          <w:sz w:val="28"/>
          <w:szCs w:val="28"/>
        </w:rPr>
        <w:t xml:space="preserve">пункте 8 «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Положения о независимых гарантиях, предоставляемых в качестве обеспечения заявки на участие в конкурент</w:t>
      </w:r>
      <w:r>
        <w:rPr>
          <w:rFonts w:ascii="Times New Roman" w:hAnsi="Times New Roman" w:cs="Times New Roman"/>
          <w:bCs/>
          <w:sz w:val="28"/>
          <w:szCs w:val="28"/>
        </w:rPr>
        <w:t xml:space="preserve">ной закупке товаров, работ, услуг в электронной форме с участием субъектов малого и среднего предпринимательства, и независимых гарантиях, предоставляемых в качестве обеспечения исполнения договора, заключаемого по результатам такой закупки», утвержденного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9 августа 2022 г. № 1397;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допускающие или влекущие взимание гарантом с заказчика (бенефициара) платы за представление заказчиком (бенефициаром) гаранту требования об уплате денежной суммы по независим</w:t>
      </w:r>
      <w:r>
        <w:rPr>
          <w:rFonts w:ascii="Times New Roman" w:hAnsi="Times New Roman" w:cs="Times New Roman"/>
          <w:sz w:val="28"/>
          <w:szCs w:val="28"/>
        </w:rPr>
        <w:t xml:space="preserve">ой гарантии, направленного в форме электронного документа, или влекущие необходимость использования заказчиком (бенефициаром) информационных систем, предусматривающих взимание с него платы при представлении такого требования в форме электронного документа.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numPr>
          <w:ilvl w:val="1"/>
          <w:numId w:val="31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аукционной заявки может быть оформлено в виде отдельной </w:t>
      </w:r>
      <w:r>
        <w:rPr>
          <w:rFonts w:ascii="Times New Roman" w:hAnsi="Times New Roman" w:cs="Times New Roman"/>
          <w:sz w:val="28"/>
          <w:szCs w:val="28"/>
        </w:rPr>
        <w:t xml:space="preserve">независимой гарантии по каждому лоту либо в виде одной независимой гарантии на общую сумму гарантии по всем лотам, на которые участник подает аукционные заявки. Рекомендуемая форма независимой гарантии представлена в Приложении № 2 аукционной документации.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numPr>
          <w:ilvl w:val="1"/>
          <w:numId w:val="31"/>
        </w:numPr>
        <w:contextualSpacing w:val="0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Независимая гарантия должна быть выдана в письменной форме на бумажном носителе или в форме электронного документа, подписанного усиленной квалифицированной электронной подписью лица, имеющего право действов</w:t>
      </w:r>
      <w:r>
        <w:rPr>
          <w:rFonts w:ascii="Times New Roman" w:hAnsi="Times New Roman" w:cs="Times New Roman"/>
          <w:sz w:val="28"/>
          <w:szCs w:val="28"/>
        </w:rPr>
        <w:t xml:space="preserve">ать от имени гаранта. В случае если независимая гарантия выдана в письменной форме на бумажном носителе, такая гарантия должна быть подписана лицом, имеющим право действовать от имени гаранта, а все листы такой гарантии должны быть прошиты и пронумерованы.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09"/>
        <w:numPr>
          <w:ilvl w:val="1"/>
          <w:numId w:val="31"/>
        </w:numPr>
        <w:ind w:left="0" w:firstLine="709"/>
        <w:spacing w:after="0" w:line="240" w:lineRule="auto"/>
        <w:rPr>
          <w:szCs w:val="28"/>
        </w:rPr>
      </w:pPr>
      <w:r>
        <w:rPr>
          <w:szCs w:val="28"/>
        </w:rPr>
        <w:t xml:space="preserve">Требование об уплате денежной суммы по независимой гарантии предъявляется заказчиком гаранту в случаях, предусмотренных пунктом 8.4 аукционной документации.</w:t>
      </w:r>
      <w:r>
        <w:rPr>
          <w:szCs w:val="28"/>
        </w:rPr>
      </w:r>
    </w:p>
    <w:p>
      <w:pPr>
        <w:pStyle w:val="1109"/>
        <w:numPr>
          <w:ilvl w:val="1"/>
          <w:numId w:val="31"/>
        </w:numPr>
        <w:ind w:left="0" w:firstLine="709"/>
        <w:spacing w:after="0" w:line="240" w:lineRule="auto"/>
        <w:rPr>
          <w:szCs w:val="28"/>
        </w:rPr>
      </w:pPr>
      <w:r>
        <w:rPr>
          <w:szCs w:val="28"/>
        </w:rPr>
        <w:t xml:space="preserve">Основанием для отказа в принятии заказчиком независимой гарантии является несоответствие независимой гарантии условиям, изложенным в пункте 8.7 аукционной документации.</w:t>
      </w:r>
      <w:r>
        <w:rPr>
          <w:szCs w:val="28"/>
        </w:rPr>
      </w:r>
    </w:p>
    <w:p>
      <w:pPr>
        <w:pStyle w:val="1141"/>
        <w:numPr>
          <w:ilvl w:val="0"/>
          <w:numId w:val="0"/>
        </w:numPr>
        <w:ind w:firstLine="709"/>
        <w:jc w:val="both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</w:r>
    </w:p>
    <w:p>
      <w:pPr>
        <w:pStyle w:val="905"/>
        <w:numPr>
          <w:ilvl w:val="0"/>
          <w:numId w:val="31"/>
        </w:numPr>
        <w:ind w:left="0" w:firstLine="709"/>
        <w:jc w:val="both"/>
        <w:spacing w:before="0" w:after="0"/>
        <w:tabs>
          <w:tab w:val="num" w:pos="360" w:leader="none"/>
        </w:tabs>
        <w:rPr>
          <w:rFonts w:cs="Times New Roman"/>
          <w:i w:val="0"/>
          <w:color w:val="000000"/>
        </w:rPr>
      </w:pPr>
      <w:r>
        <w:rPr>
          <w:rFonts w:cs="Times New Roman"/>
          <w:i w:val="0"/>
          <w:color w:val="000000"/>
        </w:rPr>
        <w:t xml:space="preserve">Обеспечение исполнения договора</w:t>
      </w:r>
      <w:r>
        <w:rPr>
          <w:rFonts w:cs="Times New Roman"/>
          <w:i w:val="0"/>
          <w:color w:val="000000"/>
        </w:rPr>
      </w:r>
    </w:p>
    <w:p>
      <w:pPr>
        <w:pStyle w:val="1109"/>
        <w:numPr>
          <w:ilvl w:val="1"/>
          <w:numId w:val="32"/>
        </w:numPr>
        <w:ind w:left="0" w:firstLine="709"/>
        <w:spacing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Обеспечение исполнения договора предоставляется, если в пункте 1.6 аукционной документации установлено требование о предоставлении обеспечения исполнения догов</w:t>
      </w:r>
      <w:r>
        <w:rPr>
          <w:color w:val="000000"/>
          <w:szCs w:val="28"/>
        </w:rPr>
        <w:t xml:space="preserve">ора. Исполнение договора может обеспечиваться как предоставлением независимой гарантии, так и внесением денежных средств на счет, на котором в соответствии с законодательством Российской Федерации учитываются операции со средствами, поступающими заказчику:</w:t>
      </w:r>
      <w:r>
        <w:rPr>
          <w:color w:val="000000"/>
          <w:szCs w:val="28"/>
        </w:rPr>
      </w:r>
    </w:p>
    <w:p>
      <w:pPr>
        <w:pStyle w:val="1109"/>
        <w:ind w:firstLine="709"/>
        <w:spacing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Е</w:t>
      </w:r>
      <w:r>
        <w:rPr>
          <w:szCs w:val="28"/>
        </w:rPr>
        <w:t xml:space="preserve">сли в отношении участника закупки, с которым заключается договор, либо в отношении его бенефициарных владельцев (совокупная доля его прямого и (или) косвенного участия составляет не менее 25 процентов) иностранными орга</w:t>
      </w:r>
      <w:r>
        <w:rPr>
          <w:szCs w:val="28"/>
        </w:rPr>
        <w:t xml:space="preserve">низациями введены ограничительные меры, такой участник вправе предоставить обеспечение исполнения договора в форме поручительства. Условия и порядок предоставления обеспечения исполнения договора в форме поручительства предоставляются заказчиком по запросу</w:t>
      </w:r>
      <w:r>
        <w:rPr>
          <w:color w:val="000000"/>
          <w:szCs w:val="28"/>
        </w:rPr>
        <w:t xml:space="preserve"> таких лиц.</w:t>
      </w:r>
      <w:r>
        <w:rPr>
          <w:color w:val="000000"/>
          <w:szCs w:val="28"/>
        </w:rPr>
      </w:r>
    </w:p>
    <w:p>
      <w:pPr>
        <w:pStyle w:val="1109"/>
        <w:ind w:firstLine="709"/>
        <w:spacing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Предоставление обеспечения иным способом не допускается.</w:t>
      </w:r>
      <w:r>
        <w:rPr>
          <w:color w:val="000000"/>
          <w:szCs w:val="28"/>
        </w:rPr>
      </w:r>
    </w:p>
    <w:p>
      <w:pPr>
        <w:pStyle w:val="1109"/>
        <w:numPr>
          <w:ilvl w:val="1"/>
          <w:numId w:val="32"/>
        </w:numPr>
        <w:ind w:left="0" w:firstLine="709"/>
        <w:spacing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В случае применения</w:t>
      </w:r>
      <w:r>
        <w:rPr>
          <w:color w:val="000000"/>
          <w:szCs w:val="28"/>
        </w:rPr>
        <w:t xml:space="preserve"> антидемпинговой меры, предусматривающей предоставление обеспечения исполнения договора в размере, превышающем в полтора раза размер, указанный в пункте 1.6 аукционной документации, обеспечение исполнения договора предоставляется в соответствующем размере.</w:t>
      </w:r>
      <w:r>
        <w:rPr>
          <w:color w:val="000000"/>
          <w:szCs w:val="28"/>
        </w:rPr>
      </w:r>
    </w:p>
    <w:p>
      <w:pPr>
        <w:pStyle w:val="1109"/>
        <w:numPr>
          <w:ilvl w:val="1"/>
          <w:numId w:val="32"/>
        </w:numPr>
        <w:ind w:left="0" w:firstLine="709"/>
        <w:spacing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Договор может быть заключен только после представления победителем или участником, сделавшим предпоследнее предложение о цене (в случае если победитель признан уклонившимся от заключения договора и </w:t>
      </w:r>
      <w:r>
        <w:rPr>
          <w:color w:val="000000"/>
          <w:szCs w:val="28"/>
        </w:rPr>
        <w:t xml:space="preserve">принято решение о его заключении с участником, сделавшим предпоследнее предложение о цене), единственным участником, допущенным к участию в аукционе (в случае если принято решение о заключении договора с таким участником), обеспечения исполнения договора. </w:t>
      </w:r>
      <w:r>
        <w:rPr>
          <w:color w:val="000000"/>
          <w:szCs w:val="28"/>
        </w:rPr>
      </w:r>
    </w:p>
    <w:p>
      <w:pPr>
        <w:pStyle w:val="1109"/>
        <w:numPr>
          <w:ilvl w:val="1"/>
          <w:numId w:val="32"/>
        </w:numPr>
        <w:ind w:left="0" w:firstLine="709"/>
        <w:spacing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Если в</w:t>
      </w:r>
      <w:r>
        <w:rPr>
          <w:color w:val="000000"/>
          <w:szCs w:val="28"/>
        </w:rPr>
        <w:t xml:space="preserve"> установленные сроки не предоставлено обеспечение исполнения договора, победитель или участник, сделавший предпоследнее предложение о цене (в случае если победитель признан уклонившимся от заключения договора и принято решение о его заключении с участником</w:t>
      </w:r>
      <w:r>
        <w:rPr>
          <w:color w:val="000000"/>
          <w:szCs w:val="28"/>
        </w:rPr>
        <w:t xml:space="preserve">, сделавшим предпоследнее предложение о цене), единственным участником, допущенным к участию в аукционе (в случае если принято решение о заключении договора с таким участником), такой победитель или участник признаются уклонившимися от заключения договора.</w:t>
      </w:r>
      <w:r>
        <w:rPr>
          <w:color w:val="000000"/>
          <w:szCs w:val="28"/>
        </w:rPr>
      </w:r>
    </w:p>
    <w:p>
      <w:pPr>
        <w:pStyle w:val="1109"/>
        <w:numPr>
          <w:ilvl w:val="1"/>
          <w:numId w:val="32"/>
        </w:numPr>
        <w:ind w:left="0" w:firstLine="709"/>
        <w:spacing w:after="0" w:line="240" w:lineRule="auto"/>
        <w:rPr>
          <w:color w:val="000000"/>
          <w:szCs w:val="28"/>
        </w:rPr>
      </w:pPr>
      <w:r>
        <w:rPr>
          <w:bCs/>
          <w:color w:val="000000"/>
          <w:szCs w:val="28"/>
        </w:rPr>
        <w:t xml:space="preserve">При </w:t>
      </w:r>
      <w:r>
        <w:rPr>
          <w:bCs/>
          <w:color w:val="000000"/>
          <w:szCs w:val="28"/>
        </w:rPr>
        <w:t xml:space="preserve">выборе способа обеспечения исполнения договора в форме перечисления денежных средств победитель (участник, сделавший предпоследнее предложение о цене или единственный участник, допущенный к участию в аукционе) перечисляет по реквизитам, указанным в пункте </w:t>
      </w:r>
      <w:r>
        <w:rPr>
          <w:color w:val="000000"/>
          <w:szCs w:val="28"/>
        </w:rPr>
        <w:t xml:space="preserve">8.5 </w:t>
      </w:r>
      <w:r>
        <w:rPr>
          <w:bCs/>
          <w:color w:val="000000"/>
          <w:szCs w:val="28"/>
        </w:rPr>
        <w:t xml:space="preserve">аукционной документации, денежные средства в размере, установленном аукционной документацией. Факт внесения участником аукциона денежных средств в качестве обеспечения исполнения договора </w:t>
      </w:r>
      <w:r>
        <w:rPr>
          <w:color w:val="000000"/>
          <w:szCs w:val="28"/>
        </w:rPr>
        <w:t xml:space="preserve">должен быть</w:t>
      </w:r>
      <w:r>
        <w:rPr>
          <w:bCs/>
          <w:color w:val="000000"/>
          <w:szCs w:val="28"/>
        </w:rPr>
        <w:t xml:space="preserve"> подтвержден </w:t>
      </w:r>
      <w:r>
        <w:rPr>
          <w:color w:val="000000"/>
          <w:szCs w:val="28"/>
        </w:rPr>
        <w:t xml:space="preserve">платежным поручением, подтверждающим перечисление денежных средств в качестве обеспечения исполнения договора, или копией такого поручения.</w:t>
      </w:r>
      <w:r>
        <w:rPr>
          <w:color w:val="000000"/>
          <w:szCs w:val="28"/>
        </w:rPr>
      </w:r>
    </w:p>
    <w:p>
      <w:pPr>
        <w:pStyle w:val="1109"/>
        <w:numPr>
          <w:ilvl w:val="1"/>
          <w:numId w:val="32"/>
        </w:numPr>
        <w:ind w:left="0" w:firstLine="709"/>
        <w:spacing w:after="0" w:line="240" w:lineRule="auto"/>
        <w:rPr>
          <w:color w:val="000000"/>
          <w:szCs w:val="28"/>
        </w:rPr>
      </w:pPr>
      <w:r>
        <w:rPr>
          <w:color w:val="000000"/>
          <w:spacing w:val="-2"/>
          <w:szCs w:val="28"/>
        </w:rPr>
        <w:t xml:space="preserve">В случае если победителем (участником, сделавшим предпоследнее предложение о цене, единственным участником, допущенным к участию в аукционе (</w:t>
      </w:r>
      <w:r>
        <w:rPr>
          <w:color w:val="000000"/>
          <w:szCs w:val="28"/>
        </w:rPr>
        <w:t xml:space="preserve">в случае если принято решение о заключении договора с таким участником</w:t>
      </w:r>
      <w:r>
        <w:rPr>
          <w:color w:val="000000"/>
          <w:spacing w:val="-2"/>
          <w:szCs w:val="28"/>
        </w:rPr>
        <w:t xml:space="preserve">)) представлены документы, подтверждающие внесение денежных средств в качестве обеспечени</w:t>
      </w:r>
      <w:r>
        <w:rPr>
          <w:color w:val="000000"/>
          <w:spacing w:val="-2"/>
          <w:szCs w:val="28"/>
        </w:rPr>
        <w:t xml:space="preserve">я исполнения договора, но до истечения срока, в течение которого такой победитель (участник, сделавший предпоследнее предложение о цене, единственный участник, допущенный к участию в аукционе) должен представить подписанный со своей стороны договор, денежн</w:t>
      </w:r>
      <w:r>
        <w:rPr>
          <w:color w:val="000000"/>
          <w:spacing w:val="-2"/>
          <w:szCs w:val="28"/>
        </w:rPr>
        <w:t xml:space="preserve">ые средства не поступили на счет, который указан заказчиком в аукционной документации, победитель (участник, сделавший предпоследнее предложение о цене, единственный участник, допущенный к участию в аукционе) признается уклонившимся от заключения договора.</w:t>
      </w:r>
      <w:r>
        <w:rPr>
          <w:color w:val="000000"/>
          <w:szCs w:val="28"/>
        </w:rPr>
      </w:r>
    </w:p>
    <w:p>
      <w:pPr>
        <w:pStyle w:val="1109"/>
        <w:numPr>
          <w:ilvl w:val="1"/>
          <w:numId w:val="32"/>
        </w:numPr>
        <w:ind w:left="0" w:firstLine="709"/>
        <w:spacing w:after="0" w:line="240" w:lineRule="auto"/>
        <w:rPr>
          <w:szCs w:val="28"/>
        </w:rPr>
      </w:pPr>
      <w:r>
        <w:rPr>
          <w:color w:val="000000"/>
          <w:szCs w:val="28"/>
        </w:rPr>
        <w:t xml:space="preserve">При выборе способа обеспечения исполнения договора в форме независимой гарантии участник должен представить независимую гарантию, </w:t>
      </w:r>
      <w:r>
        <w:rPr>
          <w:szCs w:val="28"/>
        </w:rPr>
        <w:t xml:space="preserve">соответствующую следующим требованиям:</w:t>
      </w:r>
      <w:r>
        <w:rPr>
          <w:szCs w:val="28"/>
        </w:rPr>
      </w:r>
    </w:p>
    <w:p>
      <w:pPr>
        <w:pStyle w:val="1109"/>
        <w:numPr>
          <w:ilvl w:val="2"/>
          <w:numId w:val="32"/>
        </w:numPr>
        <w:ind w:left="0" w:firstLine="709"/>
        <w:spacing w:after="0" w:line="240" w:lineRule="auto"/>
        <w:rPr>
          <w:szCs w:val="28"/>
        </w:rPr>
      </w:pPr>
      <w:r>
        <w:rPr>
          <w:szCs w:val="28"/>
        </w:rPr>
        <w:t xml:space="preserve">независимая гарантия должна быть выдана гарантом, включенным в перечень, предусмотренный частью 1 статьи 45 Федерального закона от 5 апреля 2013 </w:t>
      </w:r>
      <w:r>
        <w:rPr>
          <w:szCs w:val="28"/>
        </w:rPr>
        <w:t xml:space="preserve">года № 44-ФЗ «О контрактной системе в сфере закупок товаров, работ, услуг для обеспечения государственных и муниципальных нужд»;</w:t>
      </w:r>
      <w:r>
        <w:rPr>
          <w:szCs w:val="28"/>
        </w:rPr>
      </w:r>
    </w:p>
    <w:p>
      <w:pPr>
        <w:pStyle w:val="1109"/>
        <w:numPr>
          <w:ilvl w:val="2"/>
          <w:numId w:val="32"/>
        </w:numPr>
        <w:ind w:left="0" w:firstLine="709"/>
        <w:spacing w:after="0" w:line="240" w:lineRule="auto"/>
        <w:rPr>
          <w:szCs w:val="28"/>
        </w:rPr>
      </w:pPr>
      <w:r>
        <w:rPr>
          <w:szCs w:val="28"/>
        </w:rPr>
        <w:t xml:space="preserve">независимая гарантия не может быть отозвана гарантом;</w:t>
      </w:r>
      <w:r>
        <w:rPr>
          <w:szCs w:val="28"/>
        </w:rPr>
      </w:r>
    </w:p>
    <w:p>
      <w:pPr>
        <w:pStyle w:val="1109"/>
        <w:numPr>
          <w:ilvl w:val="2"/>
          <w:numId w:val="32"/>
        </w:numPr>
        <w:ind w:left="0" w:firstLine="709"/>
        <w:spacing w:after="0" w:line="240" w:lineRule="auto"/>
        <w:rPr>
          <w:szCs w:val="28"/>
        </w:rPr>
      </w:pPr>
      <w:r>
        <w:rPr>
          <w:szCs w:val="28"/>
        </w:rPr>
        <w:t xml:space="preserve">независимая гарантия должна содержать:</w:t>
      </w:r>
      <w:r>
        <w:rPr>
          <w:szCs w:val="28"/>
        </w:rPr>
      </w:r>
    </w:p>
    <w:p>
      <w:pPr>
        <w:pStyle w:val="1109"/>
        <w:ind w:firstLine="709"/>
        <w:spacing w:after="0" w:line="240" w:lineRule="auto"/>
        <w:rPr>
          <w:szCs w:val="28"/>
        </w:rPr>
      </w:pPr>
      <w:r>
        <w:rPr>
          <w:szCs w:val="28"/>
        </w:rPr>
        <w:t xml:space="preserve">а) условие об обязанности гаранта уплатить Заказчику (бенефициару) денежную сумму по независимой гарантии не позднее 10 (десяти) рабочих дней со дня, следующего з</w:t>
      </w:r>
      <w:r>
        <w:rPr>
          <w:szCs w:val="28"/>
        </w:rPr>
        <w:t xml:space="preserve">а днем получения гарантом требования заказчика (бенефициара), соответствующего условиям независимой гарантии, при отсутствии предусмотренных Гражданским кодексом Российской Федерации оснований для отказа в удовлетворении требования Заказчика (бенефициара);</w:t>
      </w:r>
      <w:r>
        <w:rPr>
          <w:szCs w:val="28"/>
        </w:rPr>
      </w:r>
    </w:p>
    <w:p>
      <w:pPr>
        <w:pStyle w:val="1109"/>
        <w:ind w:firstLine="709"/>
        <w:spacing w:after="0" w:line="240" w:lineRule="auto"/>
        <w:rPr>
          <w:szCs w:val="28"/>
        </w:rPr>
      </w:pPr>
      <w:r>
        <w:rPr>
          <w:szCs w:val="28"/>
        </w:rPr>
        <w:t xml:space="preserve">б) перечень документов,  подлежащих представлению заказчиком (бенефициаром) гаранту одновременно с требованием об уплате денежной суммы по независимой гарантии, установленный пунктом 9 «</w:t>
      </w:r>
      <w:r>
        <w:rPr>
          <w:bCs/>
          <w:szCs w:val="28"/>
        </w:rPr>
        <w:t xml:space="preserve">Положения о независимых гарантиях, предоставляемых в качестве обеспечения заявки на участие в конкурент</w:t>
      </w:r>
      <w:r>
        <w:rPr>
          <w:bCs/>
          <w:szCs w:val="28"/>
        </w:rPr>
        <w:t xml:space="preserve">ной закупке товаров, работ, услуг в электронной форме с участием субъектов малого и среднего предпринимательства, и независимых гарантиях, предоставляемых в качестве обеспечения исполнения договора, заключаемого по результатам такой закупки», утвержденного</w:t>
      </w:r>
      <w:r>
        <w:rPr>
          <w:szCs w:val="28"/>
        </w:rPr>
        <w:t xml:space="preserve"> постановлением Правительства Российской Федерации от 9 августа 2022 г. № 1397;</w:t>
      </w:r>
      <w:r>
        <w:rPr>
          <w:szCs w:val="28"/>
        </w:rPr>
      </w:r>
    </w:p>
    <w:p>
      <w:pPr>
        <w:pStyle w:val="1071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указание на срок действия независимой гарантии, который не может составлять менее 1 (одного) месяца с даты окончания срока исполнения основного обязательства;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09"/>
        <w:ind w:firstLine="709"/>
        <w:spacing w:after="0" w:line="240" w:lineRule="auto"/>
        <w:rPr>
          <w:szCs w:val="28"/>
        </w:rPr>
      </w:pPr>
      <w:r>
        <w:rPr>
          <w:szCs w:val="28"/>
        </w:rPr>
        <w:t xml:space="preserve">г) обязанность гаранта в случае просрочки исполнения обязательств об уплате денежной суммы по независимой гарантии уплатить Заказчику (бенефициару) неустойку в размере 0,1% денежной суммы, подлежащей уплате, за каждый день просрочки;</w:t>
      </w:r>
      <w:r>
        <w:rPr>
          <w:szCs w:val="28"/>
        </w:rPr>
      </w:r>
    </w:p>
    <w:p>
      <w:pPr>
        <w:pStyle w:val="1109"/>
        <w:ind w:firstLine="709"/>
        <w:spacing w:after="0" w:line="240" w:lineRule="auto"/>
        <w:rPr>
          <w:szCs w:val="28"/>
        </w:rPr>
      </w:pPr>
      <w:r>
        <w:rPr>
          <w:szCs w:val="28"/>
        </w:rPr>
        <w:t xml:space="preserve">9.7.4. следующие дополнительные требования:</w:t>
      </w:r>
      <w:r>
        <w:rPr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eastAsia="MS Mincho" w:cs="Times New Roman"/>
          <w:sz w:val="28"/>
          <w:szCs w:val="28"/>
        </w:rPr>
        <w:t xml:space="preserve">а) условие о праве заказчика (бенефициара) предъявлять до окончания срока действия независимой гарантии в случае неисполнения или ненадлежащего исполнения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участником, с которым заключен договор (поставщиком (подрядчиком, исполнителем)),</w:t>
      </w:r>
      <w:r>
        <w:rPr>
          <w:rFonts w:ascii="Times New Roman" w:hAnsi="Times New Roman" w:eastAsia="MS Mincho" w:cs="Times New Roman"/>
          <w:sz w:val="28"/>
          <w:szCs w:val="28"/>
        </w:rPr>
        <w:t xml:space="preserve"> обеспеченных ею обязательств, составленное по форме приложения № 4 к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постановлению Правительства Российской Федерации от 9 августа 2022 г. № 1397</w:t>
      </w:r>
      <w:r>
        <w:rPr>
          <w:rFonts w:ascii="Times New Roman" w:hAnsi="Times New Roman" w:eastAsia="MS Mincho" w:cs="Times New Roman"/>
          <w:sz w:val="28"/>
          <w:szCs w:val="28"/>
        </w:rPr>
        <w:t xml:space="preserve"> требование об уплате денежной суммы по независимой гарантии в размере цены договора, уменьшенном на сумму, пропорциональную объему исполненных </w:t>
      </w:r>
      <w:r>
        <w:rPr>
          <w:rFonts w:ascii="Times New Roman" w:hAnsi="Times New Roman" w:cs="Times New Roman"/>
          <w:bCs/>
          <w:sz w:val="28"/>
          <w:szCs w:val="28"/>
        </w:rPr>
        <w:t xml:space="preserve">участником, с которым заключен договор (поставщиком (подрядчиком, исполнителем)),</w:t>
      </w:r>
      <w:r>
        <w:rPr>
          <w:rFonts w:ascii="Times New Roman" w:hAnsi="Times New Roman" w:eastAsia="MS Mincho" w:cs="Times New Roman"/>
          <w:sz w:val="28"/>
          <w:szCs w:val="28"/>
        </w:rPr>
        <w:t xml:space="preserve"> обязательств, которые предусмотрены договором и в отношении которых заказчиком (бенефициаром) осуществлена приемка, но не превышающем размер обеспечения исполнения договора;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eastAsia="MS Mincho" w:cs="Times New Roman"/>
          <w:sz w:val="28"/>
          <w:szCs w:val="28"/>
        </w:rPr>
        <w:t xml:space="preserve">б) условие о праве заказчика (бенефициара) направлять требован</w:t>
      </w:r>
      <w:r>
        <w:rPr>
          <w:rFonts w:ascii="Times New Roman" w:hAnsi="Times New Roman" w:eastAsia="MS Mincho" w:cs="Times New Roman"/>
          <w:sz w:val="28"/>
          <w:szCs w:val="28"/>
        </w:rPr>
        <w:t xml:space="preserve">ие об уплате денежной суммы по независимой гарантии в письменной форме на бумажном носителе или в форме электронного документа, подписанного усиленной квалифицированной электронной подписью лица, имеющего право действовать от имени заказчика (бенефициара);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eastAsia="MS Mincho" w:cs="Times New Roman"/>
          <w:sz w:val="28"/>
          <w:szCs w:val="28"/>
        </w:rPr>
        <w:t xml:space="preserve">в) условие об обязанности гаранта рассмотреть требование заказчика (бенефициара) об уплате денежной суммы по независимой гарантии не позднее 5 </w:t>
      </w:r>
      <w:r>
        <w:rPr>
          <w:rFonts w:ascii="Times New Roman" w:hAnsi="Times New Roman" w:eastAsia="MS Mincho" w:cs="Times New Roman"/>
          <w:sz w:val="28"/>
          <w:szCs w:val="28"/>
        </w:rPr>
        <w:t xml:space="preserve">(пяти) рабочих дней со дня, следующего за днем получения такого требования и документов, </w:t>
      </w:r>
      <w:r>
        <w:rPr>
          <w:rFonts w:ascii="Times New Roman" w:hAnsi="Times New Roman" w:cs="Times New Roman"/>
          <w:sz w:val="28"/>
          <w:szCs w:val="28"/>
        </w:rPr>
        <w:t xml:space="preserve">предусмотренных перечнем, указанным в пункте 9 «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Положения о независимых гарантиях, предоставляемых в качестве обеспечения заявки на участие в конкурент</w:t>
      </w:r>
      <w:r>
        <w:rPr>
          <w:rFonts w:ascii="Times New Roman" w:hAnsi="Times New Roman" w:cs="Times New Roman"/>
          <w:bCs/>
          <w:sz w:val="28"/>
          <w:szCs w:val="28"/>
        </w:rPr>
        <w:t xml:space="preserve">ной закупке товаров, работ, услуг в электронной форме с участием субъектов малого и среднего предпринимательства, и независимых гарантиях, предоставляемых в качестве обеспечения исполнения договора, заключаемого по результатам такой закупки», утвержденного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9 августа 2022 г. № 1397</w:t>
      </w:r>
      <w:r>
        <w:rPr>
          <w:rFonts w:ascii="Times New Roman" w:hAnsi="Times New Roman" w:eastAsia="MS Mincho" w:cs="Times New Roman"/>
          <w:sz w:val="28"/>
          <w:szCs w:val="28"/>
        </w:rPr>
        <w:t xml:space="preserve">;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eastAsia="MS Mincho" w:cs="Times New Roman"/>
          <w:sz w:val="28"/>
          <w:szCs w:val="28"/>
        </w:rPr>
        <w:t xml:space="preserve">г) условие о праве заказчика (бенефициара) передавать право требования по независимой гарантии в случае перемены заказчика при осуществлении закупки, с предварительным извещением об этом гаранта;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ascii="Times New Roman" w:hAnsi="Times New Roman" w:eastAsia="MS Mincho" w:cs="Times New Roman"/>
          <w:sz w:val="28"/>
          <w:szCs w:val="28"/>
        </w:rPr>
        <w:t xml:space="preserve">д) условие о том, что расходы, возникающие в связи с перечислением гарантом денежных средств по независимой гарантии, несет гарант;</w:t>
      </w:r>
      <w:r>
        <w:rPr>
          <w:rFonts w:ascii="Times New Roman" w:hAnsi="Times New Roman" w:eastAsia="MS Mincho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MS Mincho" w:cs="Times New Roman"/>
          <w:sz w:val="28"/>
          <w:szCs w:val="28"/>
        </w:rPr>
        <w:t xml:space="preserve">е) </w:t>
      </w:r>
      <w:r>
        <w:rPr>
          <w:rFonts w:ascii="Times New Roman" w:hAnsi="Times New Roman" w:cs="Times New Roman"/>
          <w:sz w:val="28"/>
          <w:szCs w:val="28"/>
        </w:rPr>
        <w:t xml:space="preserve">условие о том, что исключение банка (если независимая гарантия выдана банком) из перечня, предусмотренного частью 1.2 статьи 45 Федерального закона от 5 апреля 2013 года № 44-ФЗ «О контрактной системе в сфере закупок товаров, работ, услуг для обеспечен</w:t>
      </w:r>
      <w:r>
        <w:rPr>
          <w:rFonts w:ascii="Times New Roman" w:hAnsi="Times New Roman" w:cs="Times New Roman"/>
          <w:sz w:val="28"/>
          <w:szCs w:val="28"/>
        </w:rPr>
        <w:t xml:space="preserve">ия государственных и муниципальных нужд», фонда содействия кредитованию (гарантийного фонда, фонда поручительств), являющегося участником национальной гарантийной системы поддержки малого и среднего предпринимательства, предусмотренного Федеральным законом</w:t>
      </w:r>
      <w:r>
        <w:rPr>
          <w:rFonts w:ascii="Times New Roman" w:hAnsi="Times New Roman" w:cs="Times New Roman"/>
          <w:sz w:val="28"/>
          <w:szCs w:val="28"/>
        </w:rPr>
        <w:t xml:space="preserve"> от 24 июля 2007 г. № 209-ФЗ «О развитии малого и среднего предпринимательства в Российской Федерации» (если независимая гарантия выдана таким фондом), из перечня, предусмотренного частью 1.7 статьи 45 Федерального закона от 5 апреля 2013 года № 44-ФЗ «О к</w:t>
      </w:r>
      <w:r>
        <w:rPr>
          <w:rFonts w:ascii="Times New Roman" w:hAnsi="Times New Roman" w:cs="Times New Roman"/>
          <w:sz w:val="28"/>
          <w:szCs w:val="28"/>
        </w:rPr>
        <w:t xml:space="preserve">онтрактной системе в сфере закупок товаров, работ, услуг для обеспечения государственных и муниципальных нужд», не прекращает действия независимой гарантии и не освобождает гаранта от ответственности за неисполнение либо ненадлежащее исполнение ее условий;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условие о рассмотрении споров, возникающих в связи с исполнением обязательств по независимой гарантии, в арбитражном суде;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09"/>
        <w:ind w:firstLine="709"/>
        <w:spacing w:after="0" w:line="240" w:lineRule="auto"/>
        <w:rPr>
          <w:szCs w:val="28"/>
        </w:rPr>
      </w:pPr>
      <w:r>
        <w:rPr>
          <w:szCs w:val="28"/>
        </w:rPr>
        <w:t xml:space="preserve">з) условие, согласно которому исполнением обязательств гаранта по независимой гарантии является фактическое поступление денежн</w:t>
      </w:r>
      <w:r>
        <w:rPr>
          <w:szCs w:val="28"/>
        </w:rPr>
        <w:t xml:space="preserve">ых сумм на счет, на котором в соответствии с законодательством Российской Федерации учитываются операции со средствами, поступающими заказчику (бенефициару), указанный заказчиком (бенефициаром) в требовании об уплате денежной суммы по независимой гарантии;</w:t>
      </w:r>
      <w:r>
        <w:rPr>
          <w:szCs w:val="28"/>
        </w:rPr>
      </w:r>
    </w:p>
    <w:p>
      <w:pPr>
        <w:pStyle w:val="1109"/>
        <w:ind w:firstLine="709"/>
        <w:spacing w:after="0" w:line="240" w:lineRule="auto"/>
        <w:rPr>
          <w:szCs w:val="28"/>
        </w:rPr>
      </w:pPr>
      <w:r>
        <w:rPr>
          <w:szCs w:val="28"/>
        </w:rPr>
        <w:t xml:space="preserve">9.7.5. </w:t>
      </w:r>
      <w:r>
        <w:rPr>
          <w:b/>
          <w:bCs/>
          <w:szCs w:val="28"/>
        </w:rPr>
        <w:t xml:space="preserve">Независимая гарантия не должна содержать условия</w:t>
      </w:r>
      <w:r>
        <w:rPr>
          <w:szCs w:val="28"/>
        </w:rPr>
        <w:t xml:space="preserve">:</w:t>
      </w:r>
      <w:r>
        <w:rPr>
          <w:szCs w:val="28"/>
        </w:rPr>
      </w:r>
    </w:p>
    <w:p>
      <w:pPr>
        <w:pStyle w:val="1109"/>
        <w:ind w:firstLine="709"/>
        <w:spacing w:after="0" w:line="240" w:lineRule="auto"/>
        <w:rPr>
          <w:szCs w:val="28"/>
        </w:rPr>
      </w:pPr>
      <w:r>
        <w:rPr>
          <w:szCs w:val="28"/>
        </w:rPr>
        <w:t xml:space="preserve">а) предусматривающие или влекущие представление заказчиком (бенефициаром) гаранту, в том числе одновременно с требованием об уплате денежной суммы по независимой гарантии, документов, не предусмотренных перечнем, установленным пунктом 9 «</w:t>
      </w:r>
      <w:r>
        <w:rPr>
          <w:bCs/>
          <w:szCs w:val="28"/>
        </w:rPr>
        <w:t xml:space="preserve">Положения о независимых гарантиях, предоставляемых в качестве обеспечения заявки на участи</w:t>
      </w:r>
      <w:r>
        <w:rPr>
          <w:bCs/>
          <w:szCs w:val="28"/>
        </w:rPr>
        <w:t xml:space="preserve">е в конкурентной закупке товаров, работ, услуг в электронной форме с участием субъектов малого и среднего предпринимательства, и независимых гарантиях, предоставляемых в качестве обеспечения исполнения договора, заключаемого по результатам такой закупки», </w:t>
      </w:r>
      <w:r>
        <w:rPr>
          <w:bCs/>
          <w:szCs w:val="28"/>
        </w:rPr>
        <w:t xml:space="preserve">утвержденного</w:t>
      </w:r>
      <w:r>
        <w:rPr>
          <w:szCs w:val="28"/>
        </w:rPr>
        <w:t xml:space="preserve"> постановлением Правительства Российской Федерации от 9 августа 2022 г. № 1397;</w:t>
      </w:r>
      <w:r>
        <w:rPr>
          <w:szCs w:val="28"/>
        </w:rPr>
      </w:r>
    </w:p>
    <w:p>
      <w:pPr>
        <w:pStyle w:val="1109"/>
        <w:ind w:firstLine="709"/>
        <w:spacing w:after="0" w:line="240" w:lineRule="auto"/>
        <w:rPr>
          <w:bCs/>
          <w:szCs w:val="28"/>
        </w:rPr>
      </w:pPr>
      <w:r>
        <w:rPr>
          <w:szCs w:val="28"/>
        </w:rPr>
        <w:t xml:space="preserve">б) </w:t>
      </w:r>
      <w:r>
        <w:rPr>
          <w:bCs/>
          <w:szCs w:val="28"/>
        </w:rPr>
        <w:t xml:space="preserve">о праве гаранта отказывать в удовлетворении требования заказчика (бенефициара) об</w:t>
      </w:r>
      <w:r>
        <w:rPr>
          <w:bCs/>
          <w:szCs w:val="28"/>
        </w:rPr>
        <w:t xml:space="preserve"> уплате денежной суммы по независимой гарантии в случае непредставления заказчиком (бенефициаром) гаранту уведомления о нарушении участником, с которым заключен договор (поставщиком (подрядчиком, исполнителем)), условий договора или о расторжении договора;</w:t>
      </w:r>
      <w:r>
        <w:rPr>
          <w:bCs/>
          <w:szCs w:val="28"/>
        </w:rPr>
      </w:r>
    </w:p>
    <w:p>
      <w:pPr>
        <w:pStyle w:val="1109"/>
        <w:ind w:firstLine="709"/>
        <w:spacing w:after="0" w:line="240" w:lineRule="auto"/>
        <w:rPr>
          <w:szCs w:val="28"/>
        </w:rPr>
      </w:pPr>
      <w:r>
        <w:rPr>
          <w:bCs/>
          <w:szCs w:val="28"/>
        </w:rPr>
        <w:t xml:space="preserve">в) допускающие или влекущие взимание гарантом с заказчика (бенефициара) платы за представление заказчиком (бенефициаром) гаранту требования об уплате денежной суммы по независим</w:t>
      </w:r>
      <w:r>
        <w:rPr>
          <w:bCs/>
          <w:szCs w:val="28"/>
        </w:rPr>
        <w:t xml:space="preserve">ой гарантии, направленного в форме электронного документа, или влекущие необходимость использования заказчиком (бенефициаром) информационных систем, предусматривающих взимание с него платы при представлении такого требования в форме электронного документа.</w:t>
      </w:r>
      <w:r>
        <w:rPr>
          <w:szCs w:val="28"/>
        </w:rPr>
      </w:r>
    </w:p>
    <w:p>
      <w:pPr>
        <w:pStyle w:val="1109"/>
        <w:numPr>
          <w:ilvl w:val="1"/>
          <w:numId w:val="32"/>
        </w:numPr>
        <w:ind w:left="0" w:firstLine="709"/>
        <w:spacing w:after="0" w:line="240" w:lineRule="auto"/>
        <w:rPr>
          <w:szCs w:val="28"/>
        </w:rPr>
      </w:pPr>
      <w:r>
        <w:rPr>
          <w:szCs w:val="28"/>
        </w:rPr>
        <w:t xml:space="preserve">Независимая гарантия может быть выдана в</w:t>
      </w:r>
      <w:r>
        <w:rPr>
          <w:szCs w:val="28"/>
        </w:rPr>
        <w:t xml:space="preserve"> письменной форме на бумажном носителе или в форме электронного документа, подписанного усиленной квалифицированной электронной подписью лица, имеющего право действовать от имени гаранта. В случае если независимая гарантия выдана в письменной форме на бума</w:t>
      </w:r>
      <w:r>
        <w:rPr>
          <w:szCs w:val="28"/>
        </w:rPr>
        <w:t xml:space="preserve">жном носителе такая гарантия должна быть подписана лицом, имеющим право действовать от имени гаранта, а все листы такой гарантии должны быть прошиты и пронумерованы. Независимая гарантия должна быть составлена по типовой форме, утвержденной постановлением </w:t>
      </w:r>
      <w:r>
        <w:rPr>
          <w:szCs w:val="28"/>
        </w:rPr>
        <w:t xml:space="preserve">Правительства Российской Федерации от 9 августа 2022 г. № 1397, представленной в Приложении № 3 аукционной документации.</w:t>
      </w:r>
      <w:r>
        <w:rPr>
          <w:szCs w:val="28"/>
        </w:rPr>
      </w:r>
    </w:p>
    <w:p>
      <w:pPr>
        <w:pStyle w:val="1109"/>
        <w:numPr>
          <w:ilvl w:val="1"/>
          <w:numId w:val="32"/>
        </w:numPr>
        <w:ind w:left="0" w:firstLine="709"/>
        <w:spacing w:after="0" w:line="240" w:lineRule="auto"/>
        <w:rPr>
          <w:szCs w:val="28"/>
        </w:rPr>
      </w:pPr>
      <w:r>
        <w:rPr>
          <w:bCs/>
          <w:szCs w:val="28"/>
        </w:rPr>
        <w:t xml:space="preserve">Победитель или участник, сделавший предпоследнее предложение о цене (в случае если победитель признан уклонившимся от заключения договора и принято решение о его заключении с участником, сделавшим предпоследнее предложение о цене), единственный участник, </w:t>
      </w:r>
      <w:r>
        <w:rPr>
          <w:szCs w:val="28"/>
        </w:rPr>
        <w:t xml:space="preserve">допущенный к участию в аукционе (в случае если принято решение о заключении договора с таким участником), </w:t>
      </w:r>
      <w:r>
        <w:rPr>
          <w:bCs/>
          <w:szCs w:val="28"/>
        </w:rPr>
        <w:t xml:space="preserve">согласовывает независимую гарантию с заказчиком, направив проект н</w:t>
      </w:r>
      <w:r>
        <w:rPr>
          <w:bCs/>
          <w:szCs w:val="28"/>
        </w:rPr>
        <w:t xml:space="preserve">езависимой гарантии либо независимую гарантию заказчику. Победитель, участник аукциона, с которым принято решение заключить договор, вправе инициировать процедуру согласования независимой гарантии с даты размещения итогового протокола на официальном сайте.</w:t>
      </w:r>
      <w:r>
        <w:rPr>
          <w:szCs w:val="28"/>
        </w:rPr>
      </w:r>
    </w:p>
    <w:p>
      <w:pPr>
        <w:pStyle w:val="1109"/>
        <w:numPr>
          <w:ilvl w:val="1"/>
          <w:numId w:val="32"/>
        </w:numPr>
        <w:ind w:left="0" w:firstLine="709"/>
        <w:spacing w:after="0" w:line="240" w:lineRule="auto"/>
        <w:rPr>
          <w:szCs w:val="28"/>
        </w:rPr>
      </w:pPr>
      <w:r>
        <w:rPr>
          <w:bCs/>
          <w:szCs w:val="28"/>
        </w:rPr>
        <w:t xml:space="preserve">В случае если независимая гарантия соответствует требованиям аукционной документации, независимая гарантия согласовывается з</w:t>
      </w:r>
      <w:r>
        <w:rPr>
          <w:bCs/>
          <w:szCs w:val="28"/>
        </w:rPr>
        <w:t xml:space="preserve">аказчиком. При наличии замечаний к независимой гарантии заказчик направляет их участнику, с которым принято решение заключить договор. Договор заключается при условии предоставления независимой гарантии, соответствующей требованиям аукционной документации.</w:t>
      </w:r>
      <w:r>
        <w:rPr>
          <w:szCs w:val="28"/>
        </w:rPr>
        <w:t xml:space="preserve"> В случае непредставления независимой гарантии в соответствии с требованиями аукционной документации в срок, установленный для заключения договора, участник закупки признается уклонившимся от заключения договора. </w:t>
      </w:r>
      <w:r>
        <w:rPr>
          <w:szCs w:val="28"/>
        </w:rPr>
      </w:r>
    </w:p>
    <w:p>
      <w:pPr>
        <w:pStyle w:val="1109"/>
        <w:numPr>
          <w:ilvl w:val="1"/>
          <w:numId w:val="32"/>
        </w:numPr>
        <w:ind w:left="0" w:firstLine="709"/>
        <w:spacing w:after="0" w:line="240" w:lineRule="auto"/>
        <w:rPr>
          <w:szCs w:val="28"/>
        </w:rPr>
      </w:pPr>
      <w:r>
        <w:rPr>
          <w:szCs w:val="28"/>
        </w:rPr>
        <w:t xml:space="preserve">Несоответствие независимой гарантии требованиям, предусмотренным пунктом 9.7 аукционной документации является основанием для отказа в принятии ее заказчиком.</w:t>
      </w:r>
      <w:r>
        <w:rPr>
          <w:szCs w:val="28"/>
        </w:rPr>
      </w:r>
    </w:p>
    <w:p>
      <w:pPr>
        <w:pStyle w:val="1109"/>
        <w:numPr>
          <w:ilvl w:val="1"/>
          <w:numId w:val="32"/>
        </w:numPr>
        <w:ind w:left="0" w:firstLine="709"/>
        <w:spacing w:after="0" w:line="240" w:lineRule="auto"/>
        <w:rPr>
          <w:szCs w:val="28"/>
        </w:rPr>
      </w:pPr>
      <w:r>
        <w:rPr>
          <w:szCs w:val="28"/>
        </w:rPr>
        <w:t xml:space="preserve">Вместе с гарантией участник, с которым заключается договор, представляет документы, подтверждающие полномочия лица, подписавшего </w:t>
      </w:r>
      <w:r>
        <w:rPr>
          <w:szCs w:val="28"/>
        </w:rPr>
        <w:t xml:space="preserve">гарантию от имени гаранта: доверенность на лицо, подписавшее гарантию, а также приказ или решение о назначе</w:t>
      </w:r>
      <w:r>
        <w:rPr>
          <w:szCs w:val="28"/>
        </w:rPr>
        <w:t xml:space="preserve">нии на должность лица, выдавшего доверенность. Если гарантия подписана от имени гаранта лицом, действующим на основании устава (учредительных документов), должны быть представлены решение о назначении лица на должность или приказ о назначении на должность.</w:t>
      </w:r>
      <w:r>
        <w:rPr>
          <w:szCs w:val="28"/>
        </w:rPr>
      </w:r>
    </w:p>
    <w:p>
      <w:pPr>
        <w:pStyle w:val="1109"/>
        <w:numPr>
          <w:ilvl w:val="1"/>
          <w:numId w:val="32"/>
        </w:numPr>
        <w:ind w:left="0" w:firstLine="709"/>
        <w:spacing w:after="0" w:line="240" w:lineRule="auto"/>
        <w:rPr>
          <w:color w:val="000000"/>
          <w:szCs w:val="28"/>
        </w:rPr>
      </w:pPr>
      <w:r>
        <w:rPr>
          <w:color w:val="000000"/>
          <w:spacing w:val="-2"/>
          <w:szCs w:val="28"/>
        </w:rPr>
        <w:t xml:space="preserve">Денежные средства, внесенные победителем (участником, сделавшим предпоследнее предложение о цене (в случае если победитель признан уклонившимся от заключения договора)</w:t>
      </w:r>
      <w:r>
        <w:rPr>
          <w:color w:val="000000"/>
          <w:spacing w:val="-2"/>
          <w:szCs w:val="28"/>
        </w:rPr>
        <w:t xml:space="preserve"> </w:t>
      </w:r>
      <w:r>
        <w:rPr>
          <w:color w:val="000000"/>
          <w:spacing w:val="-2"/>
          <w:szCs w:val="28"/>
        </w:rPr>
        <w:t xml:space="preserve">в качестве обеспечения исполнения договора, возвращаются на счет этого участника в тече</w:t>
      </w:r>
      <w:r>
        <w:rPr>
          <w:color w:val="000000"/>
          <w:spacing w:val="-2"/>
          <w:szCs w:val="28"/>
        </w:rPr>
        <w:t xml:space="preserve">ние 10 (десяти) рабочих дней с даты получения полного комплекта документов, предусмотренных договором, подтверждающих надлежащее исполнение обязательств по договору в том числе, накладных о поставке товаров, акта (актов) о выполнении работ, оказании услуг.</w:t>
      </w:r>
      <w:r>
        <w:rPr>
          <w:i/>
          <w:iCs/>
          <w:spacing w:val="-2"/>
          <w:szCs w:val="28"/>
        </w:rPr>
        <w:t xml:space="preserve"> </w:t>
      </w:r>
      <w:r>
        <w:rPr>
          <w:color w:val="000000"/>
          <w:szCs w:val="28"/>
        </w:rPr>
      </w:r>
    </w:p>
    <w:p>
      <w:pPr>
        <w:pStyle w:val="1109"/>
        <w:numPr>
          <w:ilvl w:val="1"/>
          <w:numId w:val="32"/>
        </w:numPr>
        <w:ind w:left="0" w:firstLine="709"/>
        <w:spacing w:after="0" w:line="240" w:lineRule="auto"/>
        <w:rPr>
          <w:i/>
          <w:iCs/>
          <w:spacing w:val="-2"/>
          <w:szCs w:val="28"/>
        </w:rPr>
      </w:pPr>
      <w:r>
        <w:rPr>
          <w:spacing w:val="-2"/>
          <w:szCs w:val="28"/>
        </w:rPr>
        <w:t xml:space="preserve">Денежные средства, внесенные в качестве обеспечения исполнения договора, могут быть удержаны Заказчиком в случае неисполнения либо ненадлежащего исполнения победителем аукциона обязательств по договору, заключаемому по итогам аукциона</w:t>
      </w:r>
      <w:r>
        <w:rPr>
          <w:i/>
          <w:iCs/>
          <w:spacing w:val="-2"/>
          <w:szCs w:val="28"/>
        </w:rPr>
        <w:t xml:space="preserve">.</w:t>
      </w:r>
      <w:r>
        <w:rPr>
          <w:i/>
          <w:iCs/>
          <w:spacing w:val="-2"/>
          <w:szCs w:val="28"/>
        </w:rPr>
      </w:r>
    </w:p>
    <w:p>
      <w:pPr>
        <w:pStyle w:val="1109"/>
        <w:numPr>
          <w:ilvl w:val="1"/>
          <w:numId w:val="32"/>
        </w:numPr>
        <w:ind w:left="0" w:firstLine="709"/>
        <w:spacing w:after="0" w:line="240" w:lineRule="auto"/>
        <w:rPr>
          <w:color w:val="000000"/>
          <w:szCs w:val="28"/>
        </w:rPr>
      </w:pPr>
      <w:r>
        <w:rPr>
          <w:szCs w:val="28"/>
        </w:rPr>
        <w:t xml:space="preserve">Участник закупки, с которым заключен договор вправе согласовать замену способа обеспечения исполнения договора, нап</w:t>
      </w:r>
      <w:r>
        <w:rPr>
          <w:szCs w:val="28"/>
        </w:rPr>
        <w:t xml:space="preserve">равив письменное обращение заказчику с приложением независимой гарантии или копии платежного поручения, подтверждающего перечисление на счет заказчика денежного обеспечения. Обращение о согласовании замены способа обеспечения исполнения договора рассматрив</w:t>
      </w:r>
      <w:r>
        <w:rPr>
          <w:szCs w:val="28"/>
        </w:rPr>
        <w:t xml:space="preserve">ается в течение 5 (пяти) рабочих дней с даты получения обращения. При соответствии независимой гарантии требованиям аукционной документации, при наличии реквизитов для осуществления возврата денежного обеспечения, замена обеспечения может быть согласована.</w:t>
      </w:r>
      <w:r>
        <w:rPr>
          <w:color w:val="000000"/>
          <w:szCs w:val="28"/>
        </w:rPr>
      </w:r>
    </w:p>
    <w:p>
      <w:pPr>
        <w:pStyle w:val="1109"/>
        <w:ind w:firstLine="709"/>
        <w:spacing w:after="0" w:line="240" w:lineRule="auto"/>
        <w:rPr>
          <w:szCs w:val="28"/>
        </w:rPr>
      </w:pPr>
      <w:r>
        <w:rPr>
          <w:szCs w:val="28"/>
        </w:rPr>
        <w:t xml:space="preserve">Денежные средства, перечисленные ранее,</w:t>
      </w:r>
      <w:r>
        <w:rPr>
          <w:spacing w:val="-2"/>
          <w:szCs w:val="28"/>
        </w:rPr>
        <w:t xml:space="preserve"> </w:t>
      </w:r>
      <w:r>
        <w:rPr>
          <w:szCs w:val="28"/>
        </w:rPr>
        <w:t xml:space="preserve">возвращаются участнику на банковский счет, указанный в его письменном обращении, в течение 10 (десяти) рабочих дней с даты представления оригинала независимой гарантии.</w:t>
      </w:r>
      <w:r>
        <w:rPr>
          <w:szCs w:val="28"/>
        </w:rPr>
      </w:r>
    </w:p>
    <w:p>
      <w:pPr>
        <w:pStyle w:val="1109"/>
        <w:numPr>
          <w:ilvl w:val="1"/>
          <w:numId w:val="32"/>
        </w:numPr>
        <w:ind w:left="0" w:firstLine="709"/>
        <w:spacing w:after="0" w:line="240" w:lineRule="auto"/>
        <w:rPr>
          <w:szCs w:val="28"/>
        </w:rPr>
      </w:pPr>
      <w:r>
        <w:rPr>
          <w:szCs w:val="28"/>
        </w:rPr>
        <w:t xml:space="preserve">В ходе исполнения договора размер обеспечения исполнения договора по согласованию сто</w:t>
      </w:r>
      <w:r>
        <w:rPr>
          <w:szCs w:val="28"/>
        </w:rPr>
        <w:t xml:space="preserve">рон может быть уменьшен пропорционально стоимости исполненных обязательств, приемка и оплата которых осуществлены в порядке и сроки, предусмотренные заключенным договором, на основании соответствующего обращения, направляемого участником в адрес заказчика.</w:t>
      </w:r>
      <w:r>
        <w:rPr>
          <w:szCs w:val="28"/>
        </w:rPr>
      </w:r>
    </w:p>
    <w:p>
      <w:pPr>
        <w:pStyle w:val="1109"/>
        <w:ind w:firstLine="709"/>
        <w:spacing w:after="0" w:line="240" w:lineRule="auto"/>
        <w:rPr>
          <w:szCs w:val="28"/>
        </w:rPr>
      </w:pPr>
      <w:r>
        <w:rPr>
          <w:szCs w:val="28"/>
        </w:rPr>
        <w:t xml:space="preserve">Участник закупки, </w:t>
      </w:r>
      <w:r>
        <w:rPr>
          <w:szCs w:val="28"/>
        </w:rPr>
        <w:t xml:space="preserve">с которым заключен договор, вправе направить письменное обращение заказчику о пересмотре размера обеспечения исполнения договора. Взаимодействие заказчика и участника закупки, с которым заключен договор, осуществляется в порядке, предусмотренном договором.</w:t>
      </w:r>
      <w:r>
        <w:rPr>
          <w:szCs w:val="28"/>
        </w:rPr>
      </w:r>
    </w:p>
    <w:p>
      <w:pPr>
        <w:pStyle w:val="1109"/>
        <w:numPr>
          <w:ilvl w:val="1"/>
          <w:numId w:val="32"/>
        </w:numPr>
        <w:ind w:left="0" w:firstLine="709"/>
        <w:spacing w:after="0" w:line="240" w:lineRule="auto"/>
        <w:rPr>
          <w:szCs w:val="28"/>
        </w:rPr>
      </w:pPr>
      <w:r>
        <w:rPr>
          <w:szCs w:val="28"/>
        </w:rPr>
        <w:t xml:space="preserve">В случае продления срока действия договора и/или увеличения количества</w:t>
      </w:r>
      <w:r>
        <w:rPr>
          <w:szCs w:val="28"/>
        </w:rPr>
        <w:t xml:space="preserve"> предусмотренных договором товаров, объема предусмотренных работ, услуг заказчик вправе потребовать от участника закупки, с которым заключен договор, дополнение к независимой гарантии/внести денежные средства соразмерно продлению срока действия договора и/</w:t>
      </w:r>
      <w:r>
        <w:rPr>
          <w:szCs w:val="28"/>
        </w:rPr>
        <w:t xml:space="preserve">или увеличению количества предусмотренных договором товаров, объема предусмотренных работ, услуг до момента подписания дополнительного соглашения к договору. Дополнение к независимой гарантии/платежное поручение о внесении денежных средств предоставляется </w:t>
      </w:r>
      <w:r>
        <w:rPr>
          <w:szCs w:val="28"/>
        </w:rPr>
        <w:t xml:space="preserve">заказчику одновременно с подписанным со ст</w:t>
      </w:r>
      <w:r>
        <w:rPr>
          <w:szCs w:val="28"/>
        </w:rPr>
        <w:t xml:space="preserve">ороны участника, с которым заключен договор, дополнительным соглашением к договору. Взаимодействие заказчика и участника, с которым заключен договор, по вопросу предоставления дополнительного обеспечения осуществляется в порядке, предусмотренном договором.</w:t>
      </w:r>
      <w:r>
        <w:rPr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05"/>
        <w:numPr>
          <w:ilvl w:val="0"/>
          <w:numId w:val="32"/>
        </w:numPr>
        <w:ind w:left="0" w:firstLine="709"/>
        <w:jc w:val="both"/>
        <w:spacing w:before="0" w:after="0"/>
        <w:rPr>
          <w:rFonts w:cs="Times New Roman"/>
          <w:i w:val="0"/>
          <w:color w:val="000000"/>
        </w:rPr>
      </w:pPr>
      <w:r>
        <w:rPr>
          <w:rFonts w:cs="Times New Roman"/>
          <w:i w:val="0"/>
          <w:color w:val="000000"/>
        </w:rPr>
        <w:t xml:space="preserve">Заключение договора</w:t>
      </w:r>
      <w:r>
        <w:rPr>
          <w:rFonts w:cs="Times New Roman"/>
          <w:i w:val="0"/>
          <w:color w:val="00000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10.1. Заключение Договора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071"/>
        <w:numPr>
          <w:ilvl w:val="2"/>
          <w:numId w:val="3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Положения договора (условия и цена) не могут быть изменены по сравнению с аукционной документацией и аукционной заявкой победителя аукциона, за исключением случаев, предусмотренных аукционной документац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ией. При невыполнении победителем аукциона требований данного пункта он признается уклонившимся от заключения договора. Договор в таком случае может быть заключен с участником, сделавшим предпоследнее предложение о цене, с учетом требований данного пункта.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071"/>
        <w:numPr>
          <w:ilvl w:val="2"/>
          <w:numId w:val="32"/>
        </w:numPr>
        <w:ind w:left="0"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Победитель (участник) аукциона </w:t>
      </w:r>
      <w:r>
        <w:rPr>
          <w:rFonts w:ascii="Times New Roman" w:hAnsi="Times New Roman" w:cs="Times New Roman" w:eastAsiaTheme="majorEastAsia"/>
          <w:bCs/>
          <w:sz w:val="28"/>
          <w:szCs w:val="28"/>
        </w:rPr>
        <w:t xml:space="preserve">в электронной форме</w:t>
      </w:r>
      <w:r>
        <w:rPr>
          <w:rFonts w:ascii="Times New Roman" w:hAnsi="Times New Roman" w:cs="Times New Roman"/>
          <w:sz w:val="28"/>
          <w:szCs w:val="28"/>
        </w:rPr>
        <w:t xml:space="preserve">, с которым заключается договор обязан предоставить на подпись Заказчику договор, подписанный со стороны побе</w:t>
      </w:r>
      <w:r>
        <w:rPr>
          <w:rFonts w:ascii="Times New Roman" w:hAnsi="Times New Roman" w:cs="Times New Roman"/>
          <w:sz w:val="28"/>
          <w:szCs w:val="28"/>
        </w:rPr>
        <w:t xml:space="preserve">дителя (участника), составленного по форме, установленной проектом договора, в электронной форме с использованием программно-аппаратных средств электронной площадки в срок не позднее 5-ти рабочих дней с даты публикации протокола подведения итогов аукциона </w:t>
      </w:r>
      <w:r>
        <w:rPr>
          <w:rFonts w:ascii="Times New Roman" w:hAnsi="Times New Roman" w:cs="Times New Roman" w:eastAsiaTheme="majorEastAsia"/>
          <w:bCs/>
          <w:sz w:val="28"/>
          <w:szCs w:val="28"/>
        </w:rPr>
        <w:t xml:space="preserve">в электронной форме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сайте в единой информационной системе, обеспечение исполнения договора (если требование об обеспечении исполнения договора установлено в аукционной документации).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наличия разногласий по проекту договора Участник такой закупки составляет протокол разногласий с указанием замечаний к положениям проекта договора, не соответствующи</w:t>
      </w:r>
      <w:r>
        <w:rPr>
          <w:rFonts w:ascii="Times New Roman" w:hAnsi="Times New Roman" w:cs="Times New Roman"/>
          <w:sz w:val="28"/>
          <w:szCs w:val="28"/>
        </w:rPr>
        <w:t xml:space="preserve">м извещению, документации о конкурентной закупке и своей заявке, с указанием соответствующих положений данных документов. Протокол разногласий направляется Заказчику с использованием программно-аппаратных средств электронной площадки. Заказчик рассматривае</w:t>
      </w:r>
      <w:r>
        <w:rPr>
          <w:rFonts w:ascii="Times New Roman" w:hAnsi="Times New Roman" w:cs="Times New Roman"/>
          <w:sz w:val="28"/>
          <w:szCs w:val="28"/>
        </w:rPr>
        <w:t xml:space="preserve">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если в установленный срок договор не предоставлен, победитель (участник) аукциона </w:t>
      </w:r>
      <w:r>
        <w:rPr>
          <w:rFonts w:ascii="Times New Roman" w:hAnsi="Times New Roman" w:cs="Times New Roman" w:eastAsiaTheme="majorEastAsia"/>
          <w:bCs/>
          <w:sz w:val="28"/>
          <w:szCs w:val="28"/>
        </w:rPr>
        <w:t xml:space="preserve">в электронной форме</w:t>
      </w:r>
      <w:r>
        <w:rPr>
          <w:rFonts w:ascii="Times New Roman" w:hAnsi="Times New Roman" w:cs="Times New Roman"/>
          <w:sz w:val="28"/>
          <w:szCs w:val="28"/>
        </w:rPr>
        <w:t xml:space="preserve"> считается уклонившимся от заключения договора.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numPr>
          <w:ilvl w:val="2"/>
          <w:numId w:val="32"/>
        </w:numPr>
        <w:ind w:left="0"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Договор заключается в электронной форме с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использованием программно-аппаратных средств электронной площадки не ранее чем через десять дней и не позднее чем через двадцать дней с даты размещения в единой информационной системе итогового протокола, составленного по результатам конкурентной закупки.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numPr>
          <w:ilvl w:val="2"/>
          <w:numId w:val="32"/>
        </w:numPr>
        <w:ind w:left="0"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необходимости одобрения органом управления Заказчика заключения договора или в случае обжалования в антимонопольном органе действий (бездействия) заказчика, комиссии по осуществлению конкурентной закупки, </w:t>
      </w:r>
      <w:r>
        <w:rPr>
          <w:rFonts w:ascii="Times New Roman" w:hAnsi="Times New Roman" w:cs="Times New Roman"/>
          <w:sz w:val="28"/>
          <w:szCs w:val="28"/>
        </w:rPr>
        <w:t xml:space="preserve">оператора электронной площадки договор должен быть заклю</w:t>
      </w:r>
      <w:r>
        <w:rPr>
          <w:rFonts w:ascii="Times New Roman" w:hAnsi="Times New Roman" w:cs="Times New Roman"/>
          <w:sz w:val="28"/>
          <w:szCs w:val="28"/>
        </w:rPr>
        <w:t xml:space="preserve">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(бездействия) заказчика, комиссии по осуществлению конкурентной закупки, оператора электронной площадки.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numPr>
          <w:ilvl w:val="2"/>
          <w:numId w:val="3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согласованию сторон договор может быть заключен с победителем, участником, с которым заключается договор, по цене ниже, чем указана в его предложении без изменения остальных условий договора.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numPr>
          <w:ilvl w:val="2"/>
          <w:numId w:val="3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если победитель аукциона уклоняется от подписания договора в установленные сроки, договор может быть заключен с участником, аукционной заявке которого присвоен второй номер.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071"/>
        <w:numPr>
          <w:ilvl w:val="2"/>
          <w:numId w:val="3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 аукциона, с которым заключается договор, обязан заключить договор на условиях аукционной документации, аукционной заявки. Договор заключается</w:t>
      </w:r>
      <w:r>
        <w:rPr>
          <w:rFonts w:ascii="Times New Roman" w:hAnsi="Times New Roman" w:cs="Times New Roman"/>
          <w:sz w:val="28"/>
          <w:szCs w:val="28"/>
        </w:rPr>
        <w:t xml:space="preserve"> по цене, предложенной победителем аукциона при проведении аукциона. Стоимость договора, заключаемого с участником закупки, в том числе с победителем, не являющимся плательщиком НДС, указывается с учетом применяемой таким участником системы налогообложения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071"/>
        <w:numPr>
          <w:ilvl w:val="2"/>
          <w:numId w:val="3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 выполнения обязательств по договору определяется на основании требований аукционной документации.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071"/>
        <w:numPr>
          <w:ilvl w:val="2"/>
          <w:numId w:val="3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срок, предусмотренный для заключения договора, заказчик вправе отказаться от заключения договора с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победителем (участником, сделавшим предпоследнее предложение о цене (в случае если победитель признан уклонившимся от заключения договора)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установления его несоответствия требованиям аукционной документации или в связи с предоставлением участником недостоверной информации о своем соответствии таким требованиям.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071"/>
        <w:numPr>
          <w:ilvl w:val="2"/>
          <w:numId w:val="3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Изменение количества предусмотренных дог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овором товаров, объема предусмотренных работ, услуг при изменении потребности в товарах, работах, услугах на поставку, выполнение, оказание которых заключен договор, допускается в пределах 20 процентов от начальной (максимальной) цены договора (цены лота).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06"/>
        <w:numPr>
          <w:ilvl w:val="1"/>
          <w:numId w:val="32"/>
        </w:numPr>
        <w:ind w:left="0" w:firstLine="709"/>
        <w:jc w:val="both"/>
        <w:keepLines w:val="0"/>
        <w:spacing w:before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Исполнение, изменение, расторжение договора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071"/>
        <w:numPr>
          <w:ilvl w:val="2"/>
          <w:numId w:val="3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Заказчик по согласован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ию с исполнителем договора вправе изменить или расторгнуть договор в случае существенного изменения обстоятельств, из которых они исходили при заключении договора, в порядке, предусмотренном Гражданским кодексом Российской Федерации. В случае недостижения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основаниям, предусмотренным Гражданским кодексом Российской Федерации.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071"/>
        <w:numPr>
          <w:ilvl w:val="2"/>
          <w:numId w:val="3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Заказчик в одностороннем порядке может отказаться от исполнения обязательств по договору по основаниям, предусмотренным Гражданским кодексом Российской Федерации.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071"/>
        <w:numPr>
          <w:ilvl w:val="2"/>
          <w:numId w:val="3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поставке дополнительного количества  товаров, выполнении дополнительного объема работ, оказании дополнительного объема услуг заказчик по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согласованию с исполнителем договора вправе изменить первоначальную цену договора пропорционально количеству таких товаров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объему таких работ, услуг, а при внесении соответствующих изменений в договор в связи с сокращением потребности в поставки таких товаров, выполнении таких работ, оказании таких услуг заказчик в обязательном порядке меняет цену договора указанным образом.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071"/>
        <w:numPr>
          <w:ilvl w:val="2"/>
          <w:numId w:val="3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исполнении договора не допускается перемена поставщика (исполнителя, подрядчика), за исключением случаев, если новый поставщик (исполнитель, подрядчик) является правопреемником поставщика (исполнителя, подрядчика) по так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ому договору вследствие реорганизации юридического лица в форме преобразования, слияния или присоединения. Новый поставщик (исполнитель, подрядчик) должен соответствовать требованиям к участникам аукциона, которые устанавливались в аукционной документации.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071"/>
        <w:numPr>
          <w:ilvl w:val="2"/>
          <w:numId w:val="3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исполнении договора по согласованию с заказчиком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учшенными по сравнению с качеством и соответствующими техническими и функциональными характеристиками, указанными в договоре. При этом стоимость поставляемого товара, выполняемых работ, оказываемых услуг не должна быть выше стоимости, указанной в договоре.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071"/>
        <w:numPr>
          <w:ilvl w:val="2"/>
          <w:numId w:val="3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1379"/>
          <w:sz w:val="28"/>
          <w:szCs w:val="28"/>
        </w:rPr>
        <w:t xml:space="preserve">В случае расторжения договора (в том числе одностороннег</w:t>
      </w:r>
      <w:r>
        <w:rPr>
          <w:rStyle w:val="1379"/>
          <w:sz w:val="28"/>
          <w:szCs w:val="28"/>
        </w:rPr>
        <w:t xml:space="preserve">о отказа от исполнения договора), заключенного с победителем закупки, договор (в объеме, неисполненном в первоначальном договоре) может быть заключен с участником, заявке которого присвоен второй порядковый номер, при его согласии и на условиях его заявки.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71"/>
        <w:contextualSpacing w:val="0"/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071"/>
        <w:contextualSpacing w:val="0"/>
        <w:ind w:left="709" w:firstLine="567"/>
        <w:jc w:val="bot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1" w:bottom="1134" w:left="851" w:header="794" w:footer="794" w:gutter="0"/>
          <w:cols w:num="1" w:sep="0" w:space="708" w:equalWidth="1"/>
          <w:docGrid w:linePitch="360"/>
          <w:titlePg/>
        </w:sect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1086"/>
        <w:ind w:left="5700" w:firstLine="567"/>
        <w:jc w:val="right"/>
        <w:spacing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Приложение № 1</w:t>
      </w:r>
      <w:r>
        <w:rPr>
          <w:sz w:val="24"/>
          <w:szCs w:val="24"/>
        </w:rPr>
      </w:r>
    </w:p>
    <w:p>
      <w:pPr>
        <w:pStyle w:val="1086"/>
        <w:ind w:left="5700" w:firstLine="567"/>
        <w:jc w:val="right"/>
        <w:spacing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к аукционной документации</w:t>
      </w:r>
      <w:r>
        <w:rPr>
          <w:sz w:val="24"/>
          <w:szCs w:val="24"/>
        </w:rPr>
      </w:r>
    </w:p>
    <w:p>
      <w:pPr>
        <w:pStyle w:val="1063"/>
        <w:ind w:firstLine="567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На бланке участника</w:t>
      </w:r>
      <w:r>
        <w:rPr>
          <w:sz w:val="24"/>
          <w:szCs w:val="24"/>
        </w:rPr>
      </w:r>
    </w:p>
    <w:p>
      <w:pPr>
        <w:pStyle w:val="1067"/>
        <w:ind w:left="40" w:firstLine="567"/>
        <w:jc w:val="center"/>
        <w:spacing w:before="0" w:line="240" w:lineRule="auto"/>
        <w:shd w:val="clear" w:color="auto" w:fill="auto"/>
        <w:tabs>
          <w:tab w:val="left" w:pos="3859" w:leader="underscore"/>
        </w:tabs>
        <w:rPr>
          <w:sz w:val="24"/>
          <w:szCs w:val="24"/>
        </w:rPr>
      </w:pPr>
      <w:r>
        <w:rPr>
          <w:rStyle w:val="1068"/>
          <w:b/>
          <w:bCs/>
          <w:sz w:val="24"/>
          <w:szCs w:val="24"/>
        </w:rPr>
        <w:t xml:space="preserve">ЗАЯВКА </w:t>
      </w:r>
      <w:r>
        <w:rPr>
          <w:rStyle w:val="1068"/>
          <w:sz w:val="24"/>
          <w:szCs w:val="24"/>
        </w:rPr>
        <w:tab/>
        <w:t xml:space="preserve"> </w:t>
      </w:r>
      <w:r>
        <w:rPr>
          <w:rStyle w:val="1083"/>
          <w:i/>
          <w:iCs/>
          <w:sz w:val="24"/>
          <w:szCs w:val="24"/>
        </w:rPr>
        <w:t xml:space="preserve">(наименование участника)</w:t>
      </w:r>
      <w:r>
        <w:rPr>
          <w:rStyle w:val="1068"/>
          <w:sz w:val="24"/>
          <w:szCs w:val="24"/>
        </w:rPr>
        <w:t xml:space="preserve"> </w:t>
      </w:r>
      <w:r>
        <w:rPr>
          <w:rStyle w:val="1068"/>
          <w:b/>
          <w:bCs/>
          <w:sz w:val="24"/>
          <w:szCs w:val="24"/>
        </w:rPr>
        <w:t xml:space="preserve">НА УЧАСТИЕ</w:t>
      </w:r>
      <w:r>
        <w:rPr>
          <w:sz w:val="24"/>
          <w:szCs w:val="24"/>
        </w:rPr>
      </w:r>
    </w:p>
    <w:p>
      <w:pPr>
        <w:pStyle w:val="1063"/>
        <w:ind w:firstLine="567"/>
        <w:jc w:val="center"/>
        <w:spacing w:before="0" w:after="258" w:line="240" w:lineRule="auto"/>
        <w:shd w:val="clear" w:color="auto" w:fill="auto"/>
        <w:tabs>
          <w:tab w:val="left" w:pos="2803" w:leader="underscore"/>
          <w:tab w:val="left" w:pos="4603" w:leader="underscore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 АУКЦИОНЕ №</w:t>
      </w:r>
      <w:r>
        <w:rPr>
          <w:b/>
          <w:bCs/>
          <w:sz w:val="24"/>
          <w:szCs w:val="24"/>
        </w:rPr>
        <w:tab/>
        <w:t xml:space="preserve"> ЛОТ № ___</w:t>
      </w:r>
      <w:r>
        <w:rPr>
          <w:b/>
          <w:bCs/>
          <w:sz w:val="24"/>
          <w:szCs w:val="24"/>
        </w:rPr>
      </w:r>
    </w:p>
    <w:p>
      <w:pPr>
        <w:ind w:firstLine="567"/>
        <w:jc w:val="both"/>
        <w:spacing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Дата: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Исх. №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ПДЕК АО «Содружество» от: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line="240" w:lineRule="auto"/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</w:p>
    <w:p>
      <w:pPr>
        <w:pStyle w:val="1101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Будучи уполномоченным представлять и действовать от имени ________________ (далее - участник), а также полностью изучив конкурсную документацию, я, нижеподписавшийся, настоящим подаю заявку на участие в конкурсе в электронной форме №__</w:t>
      </w:r>
      <w:r>
        <w:rPr>
          <w:sz w:val="24"/>
          <w:szCs w:val="24"/>
        </w:rPr>
        <w:t xml:space="preserve">_  по</w:t>
      </w:r>
      <w:r>
        <w:rPr>
          <w:sz w:val="24"/>
          <w:szCs w:val="24"/>
        </w:rPr>
        <w:t xml:space="preserve"> лоту №_</w:t>
      </w:r>
      <w:r>
        <w:rPr>
          <w:sz w:val="24"/>
          <w:szCs w:val="24"/>
        </w:rPr>
        <w:t xml:space="preserve">_(</w:t>
      </w:r>
      <w:r>
        <w:rPr>
          <w:sz w:val="24"/>
          <w:szCs w:val="24"/>
        </w:rPr>
        <w:t xml:space="preserve">далее – конкурс) на право заключения договора </w:t>
      </w:r>
      <w:r>
        <w:rPr>
          <w:i/>
          <w:sz w:val="24"/>
          <w:szCs w:val="24"/>
          <w:u w:val="single"/>
        </w:rPr>
        <w:t xml:space="preserve">указать предмет договора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tbl>
      <w:tblPr>
        <w:tblW w:w="5005" w:type="pct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ook w:val="0000" w:firstRow="0" w:lastRow="0" w:firstColumn="0" w:lastColumn="0" w:noHBand="0" w:noVBand="0"/>
      </w:tblPr>
      <w:tblGrid>
        <w:gridCol w:w="5945"/>
        <w:gridCol w:w="3970"/>
      </w:tblGrid>
      <w:tr>
        <w:tblPrEx/>
        <w:trPr/>
        <w:tc>
          <w:tcPr>
            <w:tcW w:w="2998" w:type="pct"/>
            <w:textDirection w:val="lrTb"/>
            <w:noWrap w:val="false"/>
          </w:tcPr>
          <w:p>
            <w:pPr>
              <w:ind w:firstLine="709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Название организации / ФИО для физического лица, в т.ч. индивидуального предпринимателя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02" w:type="pct"/>
            <w:textDirection w:val="lrTb"/>
            <w:noWrap w:val="false"/>
          </w:tcPr>
          <w:p>
            <w:pPr>
              <w:pStyle w:val="1109"/>
              <w:ind w:firstLine="709"/>
              <w:spacing w:after="0" w:line="240" w:lineRule="auto"/>
              <w:tabs>
                <w:tab w:val="left" w:pos="1080" w:leader="none"/>
              </w:tabs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</w:r>
            <w:r>
              <w:rPr>
                <w:color w:val="ff0000"/>
                <w:sz w:val="24"/>
              </w:rPr>
            </w:r>
          </w:p>
        </w:tc>
      </w:tr>
      <w:tr>
        <w:tblPrEx/>
        <w:trPr/>
        <w:tc>
          <w:tcPr>
            <w:tcW w:w="2998" w:type="pct"/>
            <w:textDirection w:val="lrTb"/>
            <w:noWrap w:val="false"/>
          </w:tcPr>
          <w:p>
            <w:pPr>
              <w:ind w:firstLine="709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Свидетельства для физического лица, в т.ч. для индивидуального предпринимателя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02" w:type="pct"/>
            <w:textDirection w:val="lrTb"/>
            <w:noWrap w:val="false"/>
          </w:tcPr>
          <w:p>
            <w:pPr>
              <w:pStyle w:val="1109"/>
              <w:ind w:firstLine="709"/>
              <w:spacing w:after="0" w:line="240" w:lineRule="auto"/>
              <w:tabs>
                <w:tab w:val="left" w:pos="1080" w:leader="none"/>
              </w:tabs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</w:r>
            <w:r>
              <w:rPr>
                <w:color w:val="ff0000"/>
                <w:sz w:val="24"/>
              </w:rPr>
            </w:r>
          </w:p>
        </w:tc>
      </w:tr>
      <w:tr>
        <w:tblPrEx/>
        <w:trPr/>
        <w:tc>
          <w:tcPr>
            <w:tcW w:w="2998" w:type="pct"/>
            <w:textDirection w:val="lrTb"/>
            <w:noWrap w:val="false"/>
          </w:tcPr>
          <w:p>
            <w:pPr>
              <w:ind w:firstLine="709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Паспорт (серия, №) для физического лица, в т.ч. индивидуального предпринимателя (для участника – физического лица)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02" w:type="pct"/>
            <w:textDirection w:val="lrTb"/>
            <w:noWrap w:val="false"/>
          </w:tcPr>
          <w:p>
            <w:pPr>
              <w:pStyle w:val="1109"/>
              <w:ind w:firstLine="709"/>
              <w:spacing w:after="0" w:line="240" w:lineRule="auto"/>
              <w:tabs>
                <w:tab w:val="left" w:pos="1080" w:leader="none"/>
              </w:tabs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</w:r>
            <w:r>
              <w:rPr>
                <w:color w:val="ff0000"/>
                <w:sz w:val="24"/>
              </w:rPr>
            </w:r>
          </w:p>
        </w:tc>
      </w:tr>
      <w:tr>
        <w:tblPrEx/>
        <w:trPr/>
        <w:tc>
          <w:tcPr>
            <w:tcW w:w="2998" w:type="pct"/>
            <w:textDirection w:val="lrTb"/>
            <w:noWrap w:val="false"/>
          </w:tcPr>
          <w:p>
            <w:pPr>
              <w:ind w:firstLine="709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адрес/ Адрес регистрации по месту жительства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02" w:type="pct"/>
            <w:textDirection w:val="lrTb"/>
            <w:noWrap w:val="false"/>
          </w:tcPr>
          <w:p>
            <w:pPr>
              <w:ind w:firstLine="709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</w:r>
            <w:r>
              <w:rPr>
                <w:rFonts w:ascii="Times New Roman" w:hAnsi="Times New Roman" w:cs="Times New Roman"/>
                <w:color w:val="ff0000"/>
              </w:rPr>
            </w:r>
          </w:p>
        </w:tc>
      </w:tr>
      <w:tr>
        <w:tblPrEx/>
        <w:trPr>
          <w:trHeight w:val="336"/>
        </w:trPr>
        <w:tc>
          <w:tcPr>
            <w:tcW w:w="2998" w:type="pct"/>
            <w:textDirection w:val="lrTb"/>
            <w:noWrap w:val="false"/>
          </w:tcPr>
          <w:p>
            <w:pPr>
              <w:ind w:firstLine="709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Почтовый адрес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02" w:type="pct"/>
            <w:textDirection w:val="lrTb"/>
            <w:noWrap w:val="false"/>
          </w:tcPr>
          <w:p>
            <w:pPr>
              <w:pStyle w:val="1109"/>
              <w:ind w:firstLine="709"/>
              <w:spacing w:after="0" w:line="240" w:lineRule="auto"/>
              <w:tabs>
                <w:tab w:val="left" w:pos="1080" w:leader="none"/>
              </w:tabs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</w:r>
            <w:r>
              <w:rPr>
                <w:color w:val="ff0000"/>
                <w:sz w:val="24"/>
              </w:rPr>
            </w:r>
          </w:p>
        </w:tc>
      </w:tr>
      <w:tr>
        <w:tblPrEx/>
        <w:trPr>
          <w:trHeight w:val="300"/>
        </w:trPr>
        <w:tc>
          <w:tcPr>
            <w:tcW w:w="2998" w:type="pct"/>
            <w:textDirection w:val="lrTb"/>
            <w:noWrap w:val="false"/>
          </w:tcPr>
          <w:p>
            <w:pPr>
              <w:ind w:firstLine="709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Адреса электронной почты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02" w:type="pct"/>
            <w:textDirection w:val="lrTb"/>
            <w:noWrap w:val="false"/>
          </w:tcPr>
          <w:p>
            <w:pPr>
              <w:pStyle w:val="1109"/>
              <w:ind w:firstLine="709"/>
              <w:spacing w:after="0" w:line="240" w:lineRule="auto"/>
              <w:tabs>
                <w:tab w:val="left" w:pos="1080" w:leader="none"/>
              </w:tabs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</w:r>
            <w:r>
              <w:rPr>
                <w:color w:val="ff0000"/>
                <w:sz w:val="24"/>
              </w:rPr>
            </w:r>
          </w:p>
        </w:tc>
      </w:tr>
      <w:tr>
        <w:tblPrEx/>
        <w:trPr>
          <w:trHeight w:val="300"/>
        </w:trPr>
        <w:tc>
          <w:tcPr>
            <w:tcW w:w="2998" w:type="pct"/>
            <w:textDirection w:val="lrTb"/>
            <w:noWrap w:val="false"/>
          </w:tcPr>
          <w:p>
            <w:pPr>
              <w:ind w:firstLine="709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02" w:type="pct"/>
            <w:textDirection w:val="lrTb"/>
            <w:noWrap w:val="false"/>
          </w:tcPr>
          <w:p>
            <w:pPr>
              <w:pStyle w:val="1109"/>
              <w:ind w:firstLine="709"/>
              <w:spacing w:after="0" w:line="240" w:lineRule="auto"/>
              <w:tabs>
                <w:tab w:val="left" w:pos="1080" w:leader="none"/>
              </w:tabs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</w:r>
            <w:r>
              <w:rPr>
                <w:color w:val="ff0000"/>
                <w:sz w:val="24"/>
              </w:rPr>
            </w:r>
          </w:p>
        </w:tc>
      </w:tr>
      <w:tr>
        <w:tblPrEx/>
        <w:trPr/>
        <w:tc>
          <w:tcPr>
            <w:tcW w:w="2998" w:type="pct"/>
            <w:textDirection w:val="lrTb"/>
            <w:noWrap w:val="false"/>
          </w:tcPr>
          <w:p>
            <w:pPr>
              <w:ind w:firstLine="709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02" w:type="pct"/>
            <w:textDirection w:val="lrTb"/>
            <w:noWrap w:val="false"/>
          </w:tcPr>
          <w:p>
            <w:pPr>
              <w:pStyle w:val="1109"/>
              <w:ind w:firstLine="709"/>
              <w:spacing w:after="0" w:line="240" w:lineRule="auto"/>
              <w:tabs>
                <w:tab w:val="left" w:pos="1080" w:leader="none"/>
              </w:tabs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</w:r>
            <w:r>
              <w:rPr>
                <w:color w:val="ff0000"/>
                <w:sz w:val="24"/>
              </w:rPr>
            </w:r>
          </w:p>
        </w:tc>
      </w:tr>
      <w:tr>
        <w:tblPrEx/>
        <w:trPr/>
        <w:tc>
          <w:tcPr>
            <w:tcW w:w="2998" w:type="pct"/>
            <w:textDirection w:val="lrTb"/>
            <w:noWrap w:val="false"/>
          </w:tcPr>
          <w:p>
            <w:pPr>
              <w:ind w:firstLine="709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ИНН/КПП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02" w:type="pct"/>
            <w:textDirection w:val="lrTb"/>
            <w:noWrap w:val="false"/>
          </w:tcPr>
          <w:p>
            <w:pPr>
              <w:ind w:firstLine="709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998" w:type="pct"/>
            <w:textDirection w:val="lrTb"/>
            <w:noWrap w:val="false"/>
          </w:tcPr>
          <w:p>
            <w:pPr>
              <w:ind w:firstLine="709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банка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02" w:type="pct"/>
            <w:textDirection w:val="lrTb"/>
            <w:noWrap w:val="false"/>
          </w:tcPr>
          <w:p>
            <w:pPr>
              <w:ind w:firstLine="709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998" w:type="pct"/>
            <w:textDirection w:val="lrTb"/>
            <w:noWrap w:val="false"/>
          </w:tcPr>
          <w:p>
            <w:pPr>
              <w:ind w:firstLine="709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Расчетный счет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02" w:type="pct"/>
            <w:textDirection w:val="lrTb"/>
            <w:noWrap w:val="false"/>
          </w:tcPr>
          <w:p>
            <w:pPr>
              <w:ind w:firstLine="709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73"/>
        </w:trPr>
        <w:tc>
          <w:tcPr>
            <w:tcW w:w="2998" w:type="pct"/>
            <w:textDirection w:val="lrTb"/>
            <w:noWrap w:val="false"/>
          </w:tcPr>
          <w:p>
            <w:pPr>
              <w:ind w:firstLine="709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Корр. Счет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02" w:type="pct"/>
            <w:textDirection w:val="lrTb"/>
            <w:noWrap w:val="false"/>
          </w:tcPr>
          <w:p>
            <w:pPr>
              <w:ind w:firstLine="709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998" w:type="pct"/>
            <w:textDirection w:val="lrTb"/>
            <w:noWrap w:val="false"/>
          </w:tcPr>
          <w:p>
            <w:pPr>
              <w:ind w:firstLine="709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02" w:type="pct"/>
            <w:textDirection w:val="lrTb"/>
            <w:noWrap w:val="false"/>
          </w:tcPr>
          <w:p>
            <w:pPr>
              <w:ind w:firstLine="709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63"/>
        </w:trPr>
        <w:tc>
          <w:tcPr>
            <w:tcW w:w="2998" w:type="pct"/>
            <w:textDirection w:val="lrTb"/>
            <w:noWrap w:val="false"/>
          </w:tcPr>
          <w:p>
            <w:pPr>
              <w:ind w:firstLine="709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Контактное лицо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02" w:type="pct"/>
            <w:textDirection w:val="lrTb"/>
            <w:noWrap w:val="false"/>
          </w:tcPr>
          <w:p>
            <w:pPr>
              <w:pStyle w:val="1109"/>
              <w:ind w:firstLine="709"/>
              <w:spacing w:after="0" w:line="240" w:lineRule="auto"/>
              <w:tabs>
                <w:tab w:val="left" w:pos="1080" w:leader="none"/>
              </w:tabs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</w:r>
            <w:r>
              <w:rPr>
                <w:color w:val="ff0000"/>
                <w:sz w:val="24"/>
              </w:rPr>
            </w:r>
          </w:p>
        </w:tc>
      </w:tr>
      <w:tr>
        <w:tblPrEx/>
        <w:trPr>
          <w:trHeight w:val="363"/>
        </w:trPr>
        <w:tc>
          <w:tcPr>
            <w:tcW w:w="2998" w:type="pct"/>
            <w:textDirection w:val="lrTb"/>
            <w:noWrap w:val="false"/>
          </w:tcPr>
          <w:p>
            <w:pPr>
              <w:ind w:firstLine="709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организации (ФИО, должность) – для юридического лица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02" w:type="pct"/>
            <w:textDirection w:val="lrTb"/>
            <w:noWrap w:val="false"/>
          </w:tcPr>
          <w:p>
            <w:pPr>
              <w:pStyle w:val="1109"/>
              <w:ind w:firstLine="709"/>
              <w:spacing w:after="0" w:line="240" w:lineRule="auto"/>
              <w:tabs>
                <w:tab w:val="left" w:pos="1080" w:leader="none"/>
              </w:tabs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</w:r>
            <w:r>
              <w:rPr>
                <w:color w:val="ff0000"/>
                <w:sz w:val="24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/>
          <w:i/>
          <w:color w:val="000000"/>
        </w:rPr>
      </w:pPr>
      <w:r>
        <w:rPr>
          <w:rFonts w:ascii="Times New Roman" w:hAnsi="Times New Roman" w:cs="Times New Roman"/>
          <w:i/>
          <w:color w:val="000000"/>
        </w:rPr>
        <w:t xml:space="preserve">Изучив</w:t>
      </w:r>
      <w:r>
        <w:rPr>
          <w:rFonts w:ascii="Times New Roman" w:hAnsi="Times New Roman" w:cs="Times New Roman"/>
          <w:bCs/>
          <w:i/>
          <w:color w:val="000000"/>
        </w:rPr>
        <w:t xml:space="preserve"> извещение о проведении открытого конкурса в электронной форме,  проект договора на право заключения вышеупомянутого договора, техническое задание, образцы форм и документов для  заполнения, размещенные в Единой информационной системе в сфере закупок</w:t>
      </w:r>
      <w:r>
        <w:rPr>
          <w:rFonts w:ascii="Times New Roman" w:hAnsi="Times New Roman" w:cs="Times New Roman"/>
          <w:bCs/>
          <w:color w:val="000000"/>
        </w:rPr>
        <w:t xml:space="preserve"> товаров, работ, услуг для обеспечения </w:t>
      </w:r>
      <w:r>
        <w:rPr>
          <w:rFonts w:ascii="Times New Roman" w:hAnsi="Times New Roman" w:cs="Times New Roman"/>
          <w:bCs/>
          <w:i/>
          <w:color w:val="000000"/>
        </w:rPr>
        <w:t xml:space="preserve">государственных и муниципальных нужд (официальный сайт </w:t>
      </w:r>
      <w:hyperlink r:id="rId31" w:tooltip="http://www.zakupki.gov.ru" w:history="1">
        <w:r>
          <w:rPr>
            <w:rStyle w:val="1070"/>
            <w:rFonts w:ascii="Times New Roman" w:hAnsi="Times New Roman" w:cs="Times New Roman"/>
            <w:bCs/>
            <w:i/>
          </w:rPr>
          <w:t xml:space="preserve">www.zakupki.gov.ru</w:t>
        </w:r>
      </w:hyperlink>
      <w:r>
        <w:rPr>
          <w:rFonts w:ascii="Times New Roman" w:hAnsi="Times New Roman" w:cs="Times New Roman"/>
          <w:bCs/>
          <w:i/>
          <w:color w:val="000000"/>
        </w:rPr>
        <w:t xml:space="preserve">), извещение № _____________</w:t>
      </w:r>
      <w:r>
        <w:rPr>
          <w:rStyle w:val="1113"/>
          <w:rFonts w:ascii="Times New Roman" w:hAnsi="Times New Roman" w:cs="Times New Roman"/>
          <w:bCs/>
          <w:i/>
          <w:color w:val="000000"/>
        </w:rPr>
        <w:footnoteReference w:id="3"/>
      </w:r>
      <w:r>
        <w:rPr>
          <w:rFonts w:ascii="Times New Roman" w:hAnsi="Times New Roman" w:cs="Times New Roman"/>
          <w:bCs/>
          <w:i/>
          <w:color w:val="000000"/>
        </w:rPr>
        <w:t xml:space="preserve">,</w:t>
      </w:r>
      <w:r>
        <w:rPr>
          <w:rFonts w:ascii="Times New Roman" w:hAnsi="Times New Roman" w:cs="Times New Roman"/>
          <w:bCs/>
          <w:i/>
          <w:color w:val="00000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i/>
          <w:color w:val="000000"/>
        </w:rPr>
      </w:r>
      <w:r>
        <w:rPr>
          <w:rFonts w:ascii="Times New Roman" w:hAnsi="Times New Roman" w:cs="Times New Roman"/>
          <w:i/>
          <w:color w:val="00000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настоящей заявкой ___________________________________________________</w:t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vertAlign w:val="superscript"/>
        </w:rPr>
      </w:pPr>
      <w:r>
        <w:rPr>
          <w:rFonts w:ascii="Times New Roman" w:hAnsi="Times New Roman" w:cs="Times New Roman"/>
          <w:color w:val="000000"/>
          <w:vertAlign w:val="superscript"/>
        </w:rPr>
        <w:t xml:space="preserve">(наименование Участника закупки)</w:t>
      </w:r>
      <w:r>
        <w:rPr>
          <w:rFonts w:ascii="Times New Roman" w:hAnsi="Times New Roman" w:cs="Times New Roman"/>
          <w:color w:val="000000"/>
          <w:vertAlign w:val="superscript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 лице ________________________________________________________, действующего                                                                        </w:t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vertAlign w:val="superscript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</w:t>
      </w:r>
      <w:r>
        <w:rPr>
          <w:rFonts w:ascii="Times New Roman" w:hAnsi="Times New Roman" w:cs="Times New Roman"/>
          <w:color w:val="000000"/>
          <w:vertAlign w:val="superscript"/>
        </w:rPr>
        <w:t xml:space="preserve">(наименование должности, Ф.И.О.)</w:t>
      </w:r>
      <w:r>
        <w:rPr>
          <w:rFonts w:ascii="Times New Roman" w:hAnsi="Times New Roman" w:cs="Times New Roman"/>
          <w:color w:val="000000"/>
          <w:vertAlign w:val="superscript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на основании ___________________________________________________________,</w:t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color w:val="000000"/>
          <w:vertAlign w:val="superscript"/>
        </w:rPr>
      </w:pPr>
      <w:r>
        <w:rPr>
          <w:rFonts w:ascii="Times New Roman" w:hAnsi="Times New Roman" w:cs="Times New Roman"/>
          <w:color w:val="000000"/>
          <w:vertAlign w:val="superscript"/>
        </w:rPr>
        <w:t xml:space="preserve">(устава, доверенности)</w:t>
      </w:r>
      <w:r>
        <w:rPr>
          <w:rFonts w:ascii="Times New Roman" w:hAnsi="Times New Roman" w:cs="Times New Roman"/>
          <w:color w:val="000000"/>
          <w:vertAlign w:val="superscript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i/>
          <w:color w:val="000000"/>
        </w:rPr>
        <w:t xml:space="preserve">согласен: </w:t>
      </w:r>
      <w:r>
        <w:rPr>
          <w:rFonts w:ascii="Times New Roman" w:hAnsi="Times New Roman" w:cs="Times New Roman"/>
          <w:i/>
          <w:color w:val="000000"/>
        </w:rPr>
      </w:r>
    </w:p>
    <w:p>
      <w:pPr>
        <w:pStyle w:val="1116"/>
        <w:ind w:firstLine="709"/>
        <w:jc w:val="both"/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 xml:space="preserve"> на оказание услуг, указанных в извещении конкурса в электронной форме, на условиях, предусмотренных проектом договора </w:t>
      </w:r>
      <w:r>
        <w:rPr>
          <w:i/>
          <w:color w:val="ff000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i/>
          <w:color w:val="000000"/>
        </w:rPr>
        <w:t xml:space="preserve">и</w:t>
      </w:r>
      <w:r>
        <w:rPr>
          <w:rFonts w:ascii="Times New Roman" w:hAnsi="Times New Roman" w:cs="Times New Roman"/>
          <w:i/>
          <w:color w:val="00000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i/>
          <w:color w:val="000000"/>
        </w:rPr>
        <w:t xml:space="preserve">предлагает </w:t>
      </w:r>
      <w:r>
        <w:rPr>
          <w:rFonts w:ascii="Times New Roman" w:hAnsi="Times New Roman" w:cs="Times New Roman"/>
          <w:i/>
          <w:color w:val="ff0000"/>
        </w:rPr>
        <w:t xml:space="preserve">оказать услуги</w:t>
      </w:r>
      <w:r>
        <w:rPr>
          <w:rFonts w:ascii="Times New Roman" w:hAnsi="Times New Roman" w:cs="Times New Roman"/>
          <w:i/>
          <w:color w:val="000000"/>
        </w:rPr>
        <w:t xml:space="preserve">, в указанных объемах в соответствии с условиями, изложенными в </w:t>
      </w:r>
      <w:r>
        <w:rPr>
          <w:rFonts w:ascii="Times New Roman" w:hAnsi="Times New Roman" w:cs="Times New Roman"/>
          <w:i/>
          <w:color w:val="333333"/>
        </w:rPr>
        <w:t xml:space="preserve">извещении от</w:t>
      </w:r>
      <w:r>
        <w:rPr>
          <w:rFonts w:ascii="Times New Roman" w:hAnsi="Times New Roman" w:cs="Times New Roman"/>
          <w:i/>
          <w:color w:val="000000"/>
        </w:rPr>
        <w:t xml:space="preserve"> «___» _________ 20___ г. </w:t>
      </w:r>
      <w:r>
        <w:rPr>
          <w:rFonts w:ascii="Times New Roman" w:hAnsi="Times New Roman" w:cs="Times New Roman"/>
          <w:i/>
        </w:rPr>
        <w:t xml:space="preserve">№ _______</w:t>
      </w:r>
      <w:r>
        <w:rPr>
          <w:rFonts w:ascii="Times New Roman" w:hAnsi="Times New Roman" w:cs="Times New Roman"/>
          <w:bCs/>
          <w:i/>
        </w:rPr>
        <w:t xml:space="preserve">_</w:t>
      </w:r>
      <w:r>
        <w:rPr>
          <w:rFonts w:ascii="Times New Roman" w:hAnsi="Times New Roman" w:cs="Times New Roman"/>
          <w:bCs/>
          <w:i/>
          <w:vertAlign w:val="superscript"/>
        </w:rPr>
        <w:footnoteReference w:id="4"/>
      </w:r>
      <w:r>
        <w:rPr>
          <w:rFonts w:ascii="Times New Roman" w:hAnsi="Times New Roman" w:cs="Times New Roman"/>
          <w:i/>
          <w:color w:val="000000"/>
        </w:rPr>
        <w:t xml:space="preserve">.</w:t>
      </w:r>
      <w:r>
        <w:rPr>
          <w:rFonts w:ascii="Times New Roman" w:hAnsi="Times New Roman" w:cs="Times New Roman"/>
          <w:i/>
          <w:color w:val="00000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i/>
          <w:color w:val="000000"/>
        </w:rPr>
      </w:r>
      <w:r>
        <w:rPr>
          <w:rFonts w:ascii="Times New Roman" w:hAnsi="Times New Roman" w:cs="Times New Roman"/>
          <w:i/>
          <w:color w:val="000000"/>
        </w:rPr>
      </w:r>
    </w:p>
    <w:p>
      <w:pPr>
        <w:pStyle w:val="1153"/>
        <w:ind w:firstLine="709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rStyle w:val="1089"/>
          <w:sz w:val="24"/>
          <w:szCs w:val="24"/>
        </w:rPr>
        <w:t xml:space="preserve">Настоящим подтверждаем, что:</w:t>
      </w:r>
      <w:r>
        <w:rPr>
          <w:sz w:val="24"/>
          <w:szCs w:val="24"/>
        </w:rPr>
      </w:r>
    </w:p>
    <w:p>
      <w:pPr>
        <w:pStyle w:val="1153"/>
        <w:numPr>
          <w:ilvl w:val="0"/>
          <w:numId w:val="35"/>
        </w:numPr>
        <w:ind w:firstLine="709"/>
        <w:jc w:val="both"/>
        <w:spacing w:before="0" w:after="0" w:line="240" w:lineRule="auto"/>
        <w:shd w:val="clear" w:color="auto" w:fill="auto"/>
        <w:tabs>
          <w:tab w:val="left" w:pos="971" w:leader="none"/>
          <w:tab w:val="left" w:pos="8008" w:leader="underscore"/>
        </w:tabs>
        <w:rPr>
          <w:sz w:val="24"/>
          <w:szCs w:val="24"/>
        </w:rPr>
      </w:pPr>
      <w:r>
        <w:rPr>
          <w:rStyle w:val="1089"/>
          <w:sz w:val="24"/>
          <w:szCs w:val="24"/>
        </w:rPr>
        <w:t xml:space="preserve">услуг, предлагаемые </w:t>
      </w:r>
      <w:r>
        <w:rPr>
          <w:rStyle w:val="1089"/>
          <w:sz w:val="24"/>
          <w:szCs w:val="24"/>
        </w:rPr>
        <w:tab/>
        <w:t xml:space="preserve"> </w:t>
      </w:r>
      <w:r>
        <w:rPr>
          <w:rStyle w:val="1069"/>
          <w:sz w:val="24"/>
          <w:szCs w:val="24"/>
        </w:rPr>
        <w:t xml:space="preserve">(наименование</w:t>
      </w:r>
      <w:r>
        <w:rPr>
          <w:sz w:val="24"/>
          <w:szCs w:val="24"/>
        </w:rPr>
      </w:r>
    </w:p>
    <w:p>
      <w:pPr>
        <w:pStyle w:val="1153"/>
        <w:ind w:firstLine="709"/>
        <w:jc w:val="both"/>
        <w:spacing w:before="0" w:after="0" w:line="240" w:lineRule="auto"/>
        <w:shd w:val="clear" w:color="auto" w:fill="auto"/>
        <w:tabs>
          <w:tab w:val="left" w:pos="9914" w:leader="underscore"/>
        </w:tabs>
        <w:rPr>
          <w:sz w:val="24"/>
          <w:szCs w:val="24"/>
        </w:rPr>
      </w:pPr>
      <w:r>
        <w:rPr>
          <w:rStyle w:val="1069"/>
          <w:sz w:val="24"/>
          <w:szCs w:val="24"/>
        </w:rPr>
        <w:t xml:space="preserve">участника),</w:t>
      </w:r>
      <w:r>
        <w:rPr>
          <w:rStyle w:val="1089"/>
          <w:sz w:val="24"/>
          <w:szCs w:val="24"/>
        </w:rPr>
        <w:t xml:space="preserve"> свободны от любых прав со стороны третьих лиц, </w:t>
      </w:r>
      <w:r>
        <w:rPr>
          <w:rStyle w:val="1089"/>
          <w:sz w:val="24"/>
          <w:szCs w:val="24"/>
        </w:rPr>
        <w:tab/>
      </w:r>
      <w:r>
        <w:rPr>
          <w:sz w:val="24"/>
          <w:szCs w:val="24"/>
        </w:rPr>
      </w:r>
    </w:p>
    <w:p>
      <w:pPr>
        <w:pStyle w:val="1153"/>
        <w:ind w:firstLine="709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rStyle w:val="1069"/>
          <w:sz w:val="24"/>
          <w:szCs w:val="24"/>
        </w:rPr>
        <w:t xml:space="preserve">(наименование участника)</w:t>
      </w:r>
      <w:r>
        <w:rPr>
          <w:rStyle w:val="1089"/>
          <w:sz w:val="24"/>
          <w:szCs w:val="24"/>
        </w:rPr>
        <w:t xml:space="preserve"> согласно передать все права на результаты услуг в случае признания победителем заказчику;</w:t>
      </w:r>
      <w:r>
        <w:rPr>
          <w:sz w:val="24"/>
          <w:szCs w:val="24"/>
        </w:rPr>
      </w:r>
    </w:p>
    <w:p>
      <w:pPr>
        <w:pStyle w:val="1153"/>
        <w:numPr>
          <w:ilvl w:val="0"/>
          <w:numId w:val="35"/>
        </w:numPr>
        <w:ind w:firstLine="709"/>
        <w:jc w:val="both"/>
        <w:spacing w:before="0" w:after="0" w:line="240" w:lineRule="auto"/>
        <w:shd w:val="clear" w:color="auto" w:fill="auto"/>
        <w:tabs>
          <w:tab w:val="left" w:pos="1320" w:leader="underscore"/>
          <w:tab w:val="left" w:pos="1450" w:leader="none"/>
        </w:tabs>
        <w:rPr>
          <w:sz w:val="24"/>
          <w:szCs w:val="24"/>
        </w:rPr>
      </w:pPr>
      <w:r>
        <w:rPr>
          <w:rStyle w:val="1069"/>
          <w:sz w:val="24"/>
          <w:szCs w:val="24"/>
        </w:rPr>
        <w:t xml:space="preserve"> (наименование участника)</w:t>
      </w:r>
      <w:r>
        <w:rPr>
          <w:rStyle w:val="1089"/>
          <w:sz w:val="24"/>
          <w:szCs w:val="24"/>
        </w:rPr>
        <w:t xml:space="preserve"> извещены о включении сведений о</w:t>
      </w:r>
      <w:r>
        <w:rPr>
          <w:sz w:val="24"/>
          <w:szCs w:val="24"/>
        </w:rPr>
      </w:r>
    </w:p>
    <w:p>
      <w:pPr>
        <w:pStyle w:val="1153"/>
        <w:ind w:firstLine="709"/>
        <w:jc w:val="both"/>
        <w:spacing w:before="0" w:after="0" w:line="240" w:lineRule="auto"/>
        <w:shd w:val="clear" w:color="auto" w:fill="auto"/>
        <w:tabs>
          <w:tab w:val="left" w:pos="1148" w:leader="underscore"/>
        </w:tabs>
        <w:rPr>
          <w:sz w:val="24"/>
          <w:szCs w:val="24"/>
        </w:rPr>
      </w:pPr>
      <w:r>
        <w:rPr>
          <w:rStyle w:val="1089"/>
          <w:sz w:val="24"/>
          <w:szCs w:val="24"/>
        </w:rPr>
        <w:tab/>
      </w:r>
      <w:r>
        <w:rPr>
          <w:rStyle w:val="1069"/>
          <w:sz w:val="24"/>
          <w:szCs w:val="24"/>
        </w:rPr>
        <w:t xml:space="preserve">(наименование участника)</w:t>
      </w:r>
      <w:r>
        <w:rPr>
          <w:rStyle w:val="1089"/>
          <w:sz w:val="24"/>
          <w:szCs w:val="24"/>
        </w:rPr>
        <w:t xml:space="preserve"> в Реестр недобросовестных поставщиков в</w:t>
      </w:r>
      <w:r>
        <w:rPr>
          <w:sz w:val="24"/>
          <w:szCs w:val="24"/>
        </w:rPr>
      </w:r>
    </w:p>
    <w:p>
      <w:pPr>
        <w:pStyle w:val="1153"/>
        <w:ind w:firstLine="709"/>
        <w:jc w:val="both"/>
        <w:spacing w:before="0" w:after="0" w:line="240" w:lineRule="auto"/>
        <w:shd w:val="clear" w:color="auto" w:fill="auto"/>
        <w:tabs>
          <w:tab w:val="left" w:pos="3327" w:leader="underscore"/>
        </w:tabs>
        <w:rPr>
          <w:sz w:val="24"/>
          <w:szCs w:val="24"/>
        </w:rPr>
      </w:pPr>
      <w:r>
        <w:rPr>
          <w:rStyle w:val="1089"/>
          <w:sz w:val="24"/>
          <w:szCs w:val="24"/>
        </w:rPr>
        <w:t xml:space="preserve">случае уклонения</w:t>
      </w:r>
      <w:r>
        <w:rPr>
          <w:rStyle w:val="1089"/>
          <w:sz w:val="24"/>
          <w:szCs w:val="24"/>
        </w:rPr>
        <w:tab/>
      </w:r>
      <w:r>
        <w:rPr>
          <w:rStyle w:val="1069"/>
          <w:sz w:val="24"/>
          <w:szCs w:val="24"/>
        </w:rPr>
        <w:t xml:space="preserve">(наименование участника)</w:t>
      </w:r>
      <w:r>
        <w:rPr>
          <w:rStyle w:val="1089"/>
          <w:sz w:val="24"/>
          <w:szCs w:val="24"/>
        </w:rPr>
        <w:t xml:space="preserve"> от заключения договора.</w:t>
      </w:r>
      <w:r>
        <w:rPr>
          <w:sz w:val="24"/>
          <w:szCs w:val="24"/>
        </w:rPr>
      </w:r>
    </w:p>
    <w:p>
      <w:pPr>
        <w:pStyle w:val="1067"/>
        <w:ind w:firstLine="709"/>
        <w:spacing w:before="0" w:line="240" w:lineRule="auto"/>
        <w:shd w:val="clear" w:color="auto" w:fill="auto"/>
        <w:tabs>
          <w:tab w:val="left" w:pos="2683" w:leader="underscore"/>
        </w:tabs>
        <w:rPr>
          <w:sz w:val="24"/>
          <w:szCs w:val="24"/>
        </w:rPr>
      </w:pPr>
      <w:r>
        <w:rPr>
          <w:rStyle w:val="1154"/>
          <w:rFonts w:eastAsia="Calibri"/>
          <w:sz w:val="24"/>
          <w:szCs w:val="24"/>
        </w:rPr>
        <w:t xml:space="preserve">Настоящим </w:t>
      </w:r>
      <w:r>
        <w:rPr>
          <w:rStyle w:val="1154"/>
          <w:rFonts w:eastAsia="Calibri"/>
          <w:sz w:val="24"/>
          <w:szCs w:val="24"/>
        </w:rPr>
        <w:tab/>
        <w:t xml:space="preserve"> </w:t>
      </w:r>
      <w:r>
        <w:rPr>
          <w:rStyle w:val="1083"/>
          <w:rFonts w:eastAsia="Calibri"/>
          <w:i/>
          <w:iCs/>
          <w:sz w:val="24"/>
          <w:szCs w:val="24"/>
        </w:rPr>
        <w:t xml:space="preserve">(наименование участника, лиц, выступающих на</w:t>
      </w:r>
      <w:r>
        <w:rPr>
          <w:sz w:val="24"/>
          <w:szCs w:val="24"/>
        </w:rPr>
      </w:r>
    </w:p>
    <w:p>
      <w:pPr>
        <w:pStyle w:val="1153"/>
        <w:ind w:firstLine="709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rStyle w:val="1069"/>
          <w:sz w:val="24"/>
          <w:szCs w:val="24"/>
        </w:rPr>
        <w:t xml:space="preserve">стороне участника)</w:t>
      </w:r>
      <w:r>
        <w:rPr>
          <w:rStyle w:val="1089"/>
          <w:sz w:val="24"/>
          <w:szCs w:val="24"/>
        </w:rPr>
        <w:t xml:space="preserve"> подтверждаем, что при подготовке заявки на участие в конкурсе обеспечили соблюдение требований Федерального закона Российской Фе</w:t>
      </w:r>
      <w:r>
        <w:rPr>
          <w:rStyle w:val="1089"/>
          <w:sz w:val="24"/>
          <w:szCs w:val="24"/>
        </w:rPr>
        <w:t xml:space="preserve">дерации от 27 июля 2006 г. № 152-ФЗ «О персональных данных», в том числе о получении согласий и направлении уведомлений, необходимых для передачи и обработки персональных данных субъектов персональных данных, указанных в заявке, в целях проведения закупки.</w:t>
      </w:r>
      <w:r>
        <w:rPr>
          <w:sz w:val="24"/>
          <w:szCs w:val="24"/>
        </w:rPr>
      </w:r>
    </w:p>
    <w:p>
      <w:pPr>
        <w:pStyle w:val="1067"/>
        <w:ind w:firstLine="709"/>
        <w:spacing w:before="0" w:line="240" w:lineRule="auto"/>
        <w:shd w:val="clear" w:color="auto" w:fill="auto"/>
        <w:tabs>
          <w:tab w:val="left" w:pos="989" w:leader="underscore"/>
        </w:tabs>
        <w:rPr>
          <w:sz w:val="24"/>
          <w:szCs w:val="24"/>
        </w:rPr>
      </w:pPr>
      <w:r>
        <w:rPr>
          <w:rStyle w:val="1154"/>
          <w:rFonts w:eastAsia="Calibri"/>
          <w:sz w:val="24"/>
          <w:szCs w:val="24"/>
        </w:rPr>
        <w:tab/>
        <w:t xml:space="preserve"> </w:t>
      </w:r>
      <w:r>
        <w:rPr>
          <w:rStyle w:val="1083"/>
          <w:rFonts w:eastAsia="Calibri"/>
          <w:i/>
          <w:iCs/>
          <w:sz w:val="24"/>
          <w:szCs w:val="24"/>
        </w:rPr>
        <w:t xml:space="preserve">(указывается ФИО лица, подписавшего Заявку)</w:t>
      </w:r>
      <w:r>
        <w:rPr>
          <w:rStyle w:val="1154"/>
          <w:rFonts w:eastAsia="Calibri"/>
          <w:sz w:val="24"/>
          <w:szCs w:val="24"/>
        </w:rPr>
        <w:t xml:space="preserve"> даю согласие на</w:t>
      </w:r>
      <w:r>
        <w:rPr>
          <w:sz w:val="24"/>
          <w:szCs w:val="24"/>
        </w:rPr>
      </w:r>
    </w:p>
    <w:p>
      <w:pPr>
        <w:pStyle w:val="1153"/>
        <w:ind w:firstLine="709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rStyle w:val="1089"/>
          <w:sz w:val="24"/>
          <w:szCs w:val="24"/>
        </w:rPr>
        <w:t xml:space="preserve">обработку всех своих персональных данных, указанных в заявке, в соответствии с требованиями законодательства Российской Федерации, в целях проведения закупки.</w:t>
      </w:r>
      <w:r>
        <w:rPr>
          <w:sz w:val="24"/>
          <w:szCs w:val="24"/>
        </w:rPr>
      </w:r>
    </w:p>
    <w:p>
      <w:pPr>
        <w:pStyle w:val="1153"/>
        <w:ind w:firstLine="709"/>
        <w:jc w:val="both"/>
        <w:spacing w:before="0" w:after="0" w:line="240" w:lineRule="auto"/>
        <w:shd w:val="clear" w:color="auto" w:fill="auto"/>
        <w:tabs>
          <w:tab w:val="left" w:pos="3298" w:leader="underscore"/>
        </w:tabs>
        <w:rPr>
          <w:sz w:val="24"/>
          <w:szCs w:val="24"/>
        </w:rPr>
      </w:pPr>
      <w:r>
        <w:rPr>
          <w:rStyle w:val="1089"/>
          <w:sz w:val="24"/>
          <w:szCs w:val="24"/>
        </w:rPr>
        <w:t xml:space="preserve">Настоящим </w:t>
      </w:r>
      <w:r>
        <w:rPr>
          <w:rStyle w:val="1089"/>
          <w:sz w:val="24"/>
          <w:szCs w:val="24"/>
        </w:rPr>
        <w:tab/>
        <w:t xml:space="preserve"> </w:t>
      </w:r>
      <w:r>
        <w:rPr>
          <w:rStyle w:val="1069"/>
          <w:sz w:val="24"/>
          <w:szCs w:val="24"/>
        </w:rPr>
        <w:t xml:space="preserve">(наименование участника)</w:t>
      </w:r>
      <w:r>
        <w:rPr>
          <w:rStyle w:val="1089"/>
          <w:sz w:val="24"/>
          <w:szCs w:val="24"/>
        </w:rPr>
        <w:t xml:space="preserve"> подтверждает и</w:t>
      </w:r>
      <w:r>
        <w:rPr>
          <w:sz w:val="24"/>
          <w:szCs w:val="24"/>
        </w:rPr>
      </w:r>
    </w:p>
    <w:p>
      <w:pPr>
        <w:pStyle w:val="1153"/>
        <w:ind w:firstLine="709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rStyle w:val="1089"/>
          <w:sz w:val="24"/>
          <w:szCs w:val="24"/>
        </w:rPr>
        <w:t xml:space="preserve">гарантирует подлинность всех документов, представленных в составе конкурсной заявки.</w:t>
      </w:r>
      <w:r>
        <w:rPr>
          <w:sz w:val="24"/>
          <w:szCs w:val="24"/>
        </w:rPr>
      </w:r>
    </w:p>
    <w:p>
      <w:pPr>
        <w:pStyle w:val="1153"/>
        <w:ind w:firstLine="709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rStyle w:val="1089"/>
          <w:sz w:val="24"/>
          <w:szCs w:val="24"/>
        </w:rPr>
        <w:t xml:space="preserve">Нижеподписавшийся удостоверяет, что сделанные заявления и сведения, представленные в настоящей заявке, являются полными, точными и верными.</w:t>
      </w:r>
      <w:r>
        <w:rPr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Style w:val="1089"/>
          <w:rFonts w:eastAsia="Calibri"/>
          <w:sz w:val="24"/>
          <w:szCs w:val="24"/>
        </w:rPr>
      </w:pPr>
      <w:r>
        <w:rPr>
          <w:rStyle w:val="1089"/>
          <w:rFonts w:eastAsia="Calibri"/>
          <w:sz w:val="24"/>
          <w:szCs w:val="24"/>
        </w:rPr>
        <w:t xml:space="preserve">В подтверждение этого прилагаем все необходимые документы. </w:t>
      </w:r>
      <w:r>
        <w:rPr>
          <w:rStyle w:val="1089"/>
          <w:rFonts w:eastAsia="Calibri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48" w:leader="none"/>
          <w:tab w:val="left" w:pos="3514" w:leader="underscor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 Р</w:t>
      </w:r>
      <w:r>
        <w:rPr>
          <w:rFonts w:ascii="Times New Roman" w:hAnsi="Times New Roman" w:cs="Times New Roman"/>
        </w:rPr>
        <w:t xml:space="preserve">еквизиты специального банковского счета участника конкурентной закупки с участием субъектов малого и среднего предпринимательства, если обеспечение заявки на участие в такой закупке предоставляется участником такой закупки путем внесения денежных средств (</w:t>
      </w:r>
      <w:r>
        <w:rPr>
          <w:rFonts w:ascii="Times New Roman" w:hAnsi="Times New Roman" w:cs="Times New Roman"/>
          <w:i/>
          <w:color w:val="ff0000"/>
        </w:rPr>
        <w:t xml:space="preserve">при условии установления в закупочной документации требования обеспечения заявки</w:t>
      </w:r>
      <w:r>
        <w:rPr>
          <w:rFonts w:ascii="Times New Roman" w:hAnsi="Times New Roman" w:cs="Times New Roman"/>
          <w:color w:val="ff0000"/>
        </w:rPr>
        <w:t xml:space="preserve">):</w:t>
      </w:r>
      <w:r>
        <w:rPr>
          <w:rFonts w:ascii="Times New Roman" w:hAnsi="Times New Roman" w:cs="Times New Roman"/>
          <w:color w:val="ff000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t xml:space="preserve">___________________________________________________________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настоящей заявке на участие в открытом конкурсе в электронной форме прилагаются документы, являющиеся неотъемлемой частью нашей заявки на участие в конкурсе, согласно описи - на _____стр.</w:t>
      </w:r>
      <w:r>
        <w:rPr>
          <w:rFonts w:ascii="Times New Roman" w:hAnsi="Times New Roman" w:cs="Times New Roman"/>
        </w:rPr>
      </w:r>
    </w:p>
    <w:p>
      <w:pPr>
        <w:pStyle w:val="1153"/>
        <w:ind w:firstLine="709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rStyle w:val="1089"/>
          <w:sz w:val="24"/>
          <w:szCs w:val="24"/>
        </w:rPr>
        <w:t xml:space="preserve">Представитель, имеющий полномочия подписать заявку на участие от имени</w:t>
      </w:r>
      <w:r>
        <w:rPr>
          <w:sz w:val="24"/>
          <w:szCs w:val="24"/>
        </w:rPr>
      </w:r>
    </w:p>
    <w:p>
      <w:pPr>
        <w:pStyle w:val="1153"/>
        <w:ind w:firstLine="709"/>
        <w:jc w:val="both"/>
        <w:spacing w:before="0" w:after="0" w:line="240" w:lineRule="auto"/>
        <w:shd w:val="clear" w:color="auto" w:fill="auto"/>
        <w:rPr>
          <w:rStyle w:val="1089"/>
          <w:sz w:val="24"/>
          <w:szCs w:val="24"/>
        </w:rPr>
      </w:pPr>
      <w:r>
        <w:rPr>
          <w:rStyle w:val="1089"/>
          <w:sz w:val="24"/>
          <w:szCs w:val="24"/>
        </w:rPr>
        <w:t xml:space="preserve">(полное наименование участника)</w:t>
      </w:r>
      <w:r>
        <w:rPr>
          <w:rStyle w:val="1089"/>
          <w:sz w:val="24"/>
          <w:szCs w:val="24"/>
        </w:rPr>
      </w:r>
    </w:p>
    <w:p>
      <w:pPr>
        <w:pStyle w:val="1153"/>
        <w:ind w:firstLine="709"/>
        <w:jc w:val="center"/>
        <w:spacing w:before="0" w:after="0" w:line="240" w:lineRule="auto"/>
        <w:shd w:val="clear" w:color="auto" w:fill="auto"/>
        <w:rPr>
          <w:rStyle w:val="1089"/>
          <w:sz w:val="24"/>
          <w:szCs w:val="24"/>
        </w:rPr>
      </w:pPr>
      <w:r>
        <w:rPr>
          <w:sz w:val="24"/>
          <w:szCs w:val="24"/>
        </w:rPr>
      </w:r>
      <w:r>
        <w:rPr>
          <w:rStyle w:val="1089"/>
          <w:sz w:val="24"/>
          <w:szCs w:val="24"/>
        </w:rPr>
      </w:r>
    </w:p>
    <w:p>
      <w:pPr>
        <w:pStyle w:val="1153"/>
        <w:ind w:firstLine="709"/>
        <w:jc w:val="center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53"/>
        <w:ind w:firstLine="709"/>
        <w:jc w:val="both"/>
        <w:spacing w:before="0" w:after="0" w:line="240" w:lineRule="auto"/>
        <w:shd w:val="clear" w:color="auto" w:fill="auto"/>
        <w:tabs>
          <w:tab w:val="left" w:pos="4273" w:leader="none"/>
        </w:tabs>
        <w:rPr>
          <w:sz w:val="24"/>
          <w:szCs w:val="24"/>
        </w:rPr>
      </w:pPr>
      <w:r>
        <w:rPr>
          <w:rStyle w:val="1089"/>
          <w:sz w:val="24"/>
          <w:szCs w:val="24"/>
        </w:rPr>
        <w:t xml:space="preserve">Печать (при наличии)</w:t>
      </w:r>
      <w:r>
        <w:rPr>
          <w:rStyle w:val="1089"/>
          <w:sz w:val="24"/>
          <w:szCs w:val="24"/>
        </w:rPr>
        <w:tab/>
        <w:t xml:space="preserve">(должность, подпись, ФИО)</w:t>
      </w:r>
      <w:r>
        <w:rPr>
          <w:sz w:val="24"/>
          <w:szCs w:val="24"/>
        </w:rPr>
      </w:r>
    </w:p>
    <w:p>
      <w:pPr>
        <w:pStyle w:val="1153"/>
        <w:ind w:firstLine="709"/>
        <w:jc w:val="both"/>
        <w:spacing w:before="0" w:after="0" w:line="240" w:lineRule="auto"/>
        <w:shd w:val="clear" w:color="auto" w:fill="auto"/>
        <w:tabs>
          <w:tab w:val="left" w:pos="2252" w:leader="none"/>
        </w:tabs>
        <w:rPr>
          <w:sz w:val="24"/>
          <w:szCs w:val="24"/>
        </w:rPr>
      </w:pPr>
      <w:r>
        <w:rPr>
          <w:rStyle w:val="1089"/>
          <w:sz w:val="24"/>
          <w:szCs w:val="24"/>
        </w:rPr>
        <w:t xml:space="preserve">« »</w:t>
      </w:r>
      <w:r>
        <w:rPr>
          <w:rStyle w:val="1089"/>
          <w:sz w:val="24"/>
          <w:szCs w:val="24"/>
        </w:rPr>
        <w:tab/>
        <w:t xml:space="preserve">20 г.</w:t>
      </w:r>
      <w:r>
        <w:rPr>
          <w:sz w:val="24"/>
          <w:szCs w:val="24"/>
        </w:rPr>
      </w:r>
    </w:p>
    <w:p>
      <w:pPr>
        <w:pStyle w:val="1086"/>
        <w:ind w:firstLine="709"/>
        <w:jc w:val="right"/>
        <w:spacing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86"/>
        <w:ind w:firstLine="709"/>
        <w:jc w:val="right"/>
        <w:spacing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86"/>
        <w:ind w:firstLine="709"/>
        <w:jc w:val="right"/>
        <w:spacing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334"/>
        <w:ind w:left="0" w:right="0" w:firstLine="709"/>
        <w:spacing w:before="0"/>
      </w:pPr>
      <w:r/>
      <w:r/>
    </w:p>
    <w:p>
      <w:pPr>
        <w:pStyle w:val="1086"/>
        <w:ind w:firstLine="709"/>
        <w:jc w:val="both"/>
        <w:spacing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86"/>
        <w:ind w:firstLine="709"/>
        <w:jc w:val="both"/>
        <w:spacing w:line="240" w:lineRule="auto"/>
        <w:shd w:val="clear" w:color="auto" w:fill="auto"/>
        <w:rPr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1" w:bottom="1134" w:left="1134" w:header="794" w:footer="794" w:gutter="0"/>
          <w:cols w:num="1" w:sep="0" w:space="708" w:equalWidth="1"/>
          <w:docGrid w:linePitch="360"/>
          <w:titlePg/>
        </w:sect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86"/>
        <w:ind w:left="5700"/>
        <w:jc w:val="right"/>
        <w:spacing w:line="276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Приложение № 2</w:t>
      </w:r>
      <w:r>
        <w:rPr>
          <w:sz w:val="24"/>
          <w:szCs w:val="24"/>
        </w:rPr>
      </w:r>
    </w:p>
    <w:p>
      <w:pPr>
        <w:pStyle w:val="1086"/>
        <w:ind w:left="5700"/>
        <w:jc w:val="right"/>
        <w:spacing w:line="276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к аукционной документации</w:t>
      </w:r>
      <w:r>
        <w:rPr>
          <w:sz w:val="24"/>
          <w:szCs w:val="24"/>
        </w:rPr>
      </w:r>
    </w:p>
    <w:p>
      <w:pPr>
        <w:pStyle w:val="1063"/>
        <w:ind w:left="1900"/>
        <w:spacing w:before="0" w:after="128" w:line="276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116"/>
        <w:jc w:val="center"/>
      </w:pPr>
      <w:r>
        <w:t xml:space="preserve">ТИПОВАЯ ФОРМА</w:t>
      </w:r>
      <w:r/>
    </w:p>
    <w:p>
      <w:pPr>
        <w:pStyle w:val="1116"/>
        <w:jc w:val="center"/>
      </w:pPr>
      <w:r>
        <w:t xml:space="preserve">независимой гарантии, предоставляемой в качестве обеспечения</w:t>
      </w:r>
      <w:r/>
    </w:p>
    <w:p>
      <w:pPr>
        <w:pStyle w:val="1116"/>
        <w:jc w:val="center"/>
      </w:pPr>
      <w:r>
        <w:t xml:space="preserve">заявки на участие в закупке</w:t>
      </w:r>
      <w:r/>
    </w:p>
    <w:p>
      <w:pPr>
        <w:pStyle w:val="1116"/>
        <w:jc w:val="both"/>
      </w:pPr>
      <w:r/>
      <w:r/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3465"/>
        <w:gridCol w:w="2400"/>
        <w:gridCol w:w="1285"/>
        <w:gridCol w:w="2410"/>
      </w:tblGrid>
      <w:tr>
        <w:tblPrEx/>
        <w:trPr/>
        <w:tc>
          <w:tcPr>
            <w:tcW w:w="3465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gridSpan w:val="2"/>
            <w:tcBorders>
              <w:right w:val="single" w:color="auto" w:sz="4" w:space="0"/>
            </w:tcBorders>
            <w:tcW w:w="3685" w:type="dxa"/>
            <w:textDirection w:val="lrTb"/>
            <w:noWrap w:val="false"/>
          </w:tcPr>
          <w:p>
            <w:pPr>
              <w:pStyle w:val="1116"/>
              <w:jc w:val="right"/>
            </w:pPr>
            <w:r>
              <w:t xml:space="preserve">Дата выдачи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</w:tr>
      <w:tr>
        <w:tblPrEx/>
        <w:trPr/>
        <w:tc>
          <w:tcPr>
            <w:tcW w:w="3465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gridSpan w:val="2"/>
            <w:tcBorders>
              <w:right w:val="single" w:color="auto" w:sz="4" w:space="0"/>
            </w:tcBorders>
            <w:tcW w:w="3685" w:type="dxa"/>
            <w:textDirection w:val="lrTb"/>
            <w:noWrap w:val="false"/>
          </w:tcPr>
          <w:p>
            <w:pPr>
              <w:pStyle w:val="1116"/>
              <w:jc w:val="right"/>
            </w:pPr>
            <w:r>
              <w:t xml:space="preserve">Номер независимой гарантии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Style w:val="1116"/>
              <w:rPr>
                <w:i/>
              </w:rPr>
            </w:pPr>
            <w:r>
              <w:rPr>
                <w:i/>
              </w:rPr>
              <w:t xml:space="preserve">Указывается при наличии</w:t>
            </w:r>
            <w:r>
              <w:rPr>
                <w:i/>
              </w:rPr>
            </w:r>
          </w:p>
        </w:tc>
      </w:tr>
      <w:tr>
        <w:tblPrEx/>
        <w:trPr/>
        <w:tc>
          <w:tcPr>
            <w:gridSpan w:val="4"/>
            <w:tcW w:w="9560" w:type="dxa"/>
            <w:textDirection w:val="lrTb"/>
            <w:noWrap w:val="false"/>
          </w:tcPr>
          <w:p>
            <w:pPr>
              <w:pStyle w:val="1116"/>
              <w:jc w:val="center"/>
              <w:outlineLvl w:val="2"/>
            </w:pPr>
            <w:r>
              <w:t xml:space="preserve">Информация о гаранте, принципале, бенефициаре</w:t>
            </w:r>
            <w:r/>
          </w:p>
        </w:tc>
      </w:tr>
      <w:tr>
        <w:tblPrEx/>
        <w:trPr/>
        <w:tc>
          <w:tcPr>
            <w:tcW w:w="3465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tcW w:w="240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tcBorders>
              <w:right w:val="single" w:color="auto" w:sz="4" w:space="0"/>
            </w:tcBorders>
            <w:tcW w:w="1285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Style w:val="1116"/>
              <w:jc w:val="center"/>
            </w:pPr>
            <w:r>
              <w:t xml:space="preserve">Коды</w:t>
            </w:r>
            <w:r/>
          </w:p>
        </w:tc>
      </w:tr>
      <w:tr>
        <w:tblPrEx/>
        <w:trPr/>
        <w:tc>
          <w:tcPr>
            <w:tcW w:w="3465" w:type="dxa"/>
            <w:textDirection w:val="lrTb"/>
            <w:noWrap w:val="false"/>
          </w:tcPr>
          <w:p>
            <w:pPr>
              <w:pStyle w:val="1116"/>
            </w:pPr>
            <w:r>
              <w:t xml:space="preserve">Полное наименование гаранта</w:t>
            </w:r>
            <w:r/>
          </w:p>
        </w:tc>
        <w:tc>
          <w:tcPr>
            <w:tcW w:w="240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tcBorders>
              <w:right w:val="single" w:color="auto" w:sz="4" w:space="0"/>
            </w:tcBorders>
            <w:tcW w:w="1285" w:type="dxa"/>
            <w:vAlign w:val="bottom"/>
            <w:textDirection w:val="lrTb"/>
            <w:noWrap w:val="false"/>
          </w:tcPr>
          <w:p>
            <w:pPr>
              <w:pStyle w:val="1116"/>
              <w:jc w:val="right"/>
            </w:pPr>
            <w:r>
              <w:t xml:space="preserve">ИНН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</w:tr>
      <w:tr>
        <w:tblPrEx/>
        <w:trPr/>
        <w:tc>
          <w:tcPr>
            <w:tcW w:w="3465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tcW w:w="240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tcBorders>
              <w:right w:val="single" w:color="auto" w:sz="4" w:space="0"/>
            </w:tcBorders>
            <w:tcW w:w="1285" w:type="dxa"/>
            <w:vAlign w:val="bottom"/>
            <w:textDirection w:val="lrTb"/>
            <w:noWrap w:val="false"/>
          </w:tcPr>
          <w:p>
            <w:pPr>
              <w:pStyle w:val="1116"/>
              <w:jc w:val="right"/>
            </w:pPr>
            <w:r>
              <w:t xml:space="preserve">КПП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</w:tr>
      <w:tr>
        <w:tblPrEx/>
        <w:trPr/>
        <w:tc>
          <w:tcPr>
            <w:tcW w:w="3465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tcBorders>
              <w:bottom w:val="single" w:color="auto" w:sz="4" w:space="0"/>
            </w:tcBorders>
            <w:tcW w:w="240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tcBorders>
              <w:right w:val="single" w:color="auto" w:sz="4" w:space="0"/>
            </w:tcBorders>
            <w:tcW w:w="1285" w:type="dxa"/>
            <w:vAlign w:val="bottom"/>
            <w:textDirection w:val="lrTb"/>
            <w:noWrap w:val="false"/>
          </w:tcPr>
          <w:p>
            <w:pPr>
              <w:pStyle w:val="1116"/>
              <w:jc w:val="right"/>
            </w:pPr>
            <w:r>
              <w:t xml:space="preserve">БИК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Style w:val="1116"/>
            </w:pPr>
            <w:r>
              <w:rPr>
                <w:i/>
              </w:rPr>
              <w:t xml:space="preserve">Указывается при наличии</w:t>
            </w:r>
            <w:r/>
          </w:p>
        </w:tc>
      </w:tr>
      <w:tr>
        <w:tblPrEx/>
        <w:trPr/>
        <w:tc>
          <w:tcPr>
            <w:tcW w:w="3465" w:type="dxa"/>
            <w:textDirection w:val="lrTb"/>
            <w:noWrap w:val="false"/>
          </w:tcPr>
          <w:p>
            <w:pPr>
              <w:pStyle w:val="1116"/>
            </w:pPr>
            <w:r>
              <w:t xml:space="preserve">Идентификационный код гаранта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0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tcBorders>
              <w:right w:val="single" w:color="auto" w:sz="4" w:space="0"/>
            </w:tcBorders>
            <w:tcW w:w="1285" w:type="dxa"/>
            <w:vAlign w:val="bottom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Style w:val="1116"/>
              <w:jc w:val="center"/>
            </w:pPr>
            <w:r>
              <w:t xml:space="preserve">-</w:t>
            </w:r>
            <w:r/>
          </w:p>
        </w:tc>
      </w:tr>
      <w:tr>
        <w:tblPrEx/>
        <w:trPr/>
        <w:tc>
          <w:tcPr>
            <w:tcW w:w="3465" w:type="dxa"/>
            <w:textDirection w:val="lrTb"/>
            <w:noWrap w:val="false"/>
          </w:tcPr>
          <w:p>
            <w:pPr>
              <w:pStyle w:val="1116"/>
            </w:pPr>
            <w:r>
              <w:t xml:space="preserve">Место нахождения, телефон, адрес электронной почты гаранта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0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tcBorders>
              <w:right w:val="single" w:color="auto" w:sz="4" w:space="0"/>
            </w:tcBorders>
            <w:tcW w:w="1285" w:type="dxa"/>
            <w:vAlign w:val="bottom"/>
            <w:textDirection w:val="lrTb"/>
            <w:noWrap w:val="false"/>
          </w:tcPr>
          <w:p>
            <w:pPr>
              <w:pStyle w:val="1116"/>
              <w:jc w:val="right"/>
            </w:pPr>
            <w:r>
              <w:t xml:space="preserve">по ОКТМО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Style w:val="1116"/>
            </w:pPr>
            <w:r>
              <w:rPr>
                <w:i/>
              </w:rPr>
              <w:t xml:space="preserve">Указывается при наличии</w:t>
            </w:r>
            <w:r/>
          </w:p>
        </w:tc>
      </w:tr>
      <w:tr>
        <w:tblPrEx/>
        <w:trPr/>
        <w:tc>
          <w:tcPr>
            <w:tcW w:w="3465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tcBorders>
              <w:top w:val="single" w:color="auto" w:sz="4" w:space="0"/>
            </w:tcBorders>
            <w:tcW w:w="240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tcW w:w="1285" w:type="dxa"/>
            <w:vAlign w:val="bottom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</w:tr>
      <w:tr>
        <w:tblPrEx/>
        <w:trPr/>
        <w:tc>
          <w:tcPr>
            <w:tcW w:w="3465" w:type="dxa"/>
            <w:textDirection w:val="lrTb"/>
            <w:noWrap w:val="false"/>
          </w:tcPr>
          <w:p>
            <w:pPr>
              <w:pStyle w:val="1116"/>
            </w:pPr>
            <w:r>
              <w:t xml:space="preserve">Полное наименование принципала</w:t>
            </w:r>
            <w:r/>
          </w:p>
        </w:tc>
        <w:tc>
          <w:tcPr>
            <w:tcW w:w="240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tcBorders>
              <w:right w:val="single" w:color="auto" w:sz="4" w:space="0"/>
            </w:tcBorders>
            <w:tcW w:w="1285" w:type="dxa"/>
            <w:vAlign w:val="bottom"/>
            <w:textDirection w:val="lrTb"/>
            <w:noWrap w:val="false"/>
          </w:tcPr>
          <w:p>
            <w:pPr>
              <w:pStyle w:val="1116"/>
              <w:jc w:val="right"/>
            </w:pPr>
            <w:r>
              <w:t xml:space="preserve">ИНН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Style w:val="1116"/>
              <w:rPr>
                <w:i/>
              </w:rPr>
            </w:pPr>
            <w:r>
              <w:rPr>
                <w:i/>
              </w:rPr>
              <w:t xml:space="preserve">В случае отсутствия у иностранного лица </w:t>
            </w:r>
            <w:r>
              <w:rPr>
                <w:i/>
              </w:rPr>
              <w:t xml:space="preserve">идентификационного номера налогоплательщика, присвоенного в соответствии с законодательством Российской Федерации о налогах и сборах, указывается аналог идентификационного номера налогоплательщика в соответствии с законодательством иностранного государства</w:t>
            </w:r>
            <w:r>
              <w:rPr>
                <w:i/>
              </w:rPr>
            </w:r>
          </w:p>
        </w:tc>
      </w:tr>
      <w:tr>
        <w:tblPrEx/>
        <w:trPr/>
        <w:tc>
          <w:tcPr>
            <w:tcW w:w="3465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tcBorders>
              <w:bottom w:val="single" w:color="auto" w:sz="4" w:space="0"/>
            </w:tcBorders>
            <w:tcW w:w="240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tcBorders>
              <w:right w:val="single" w:color="auto" w:sz="4" w:space="0"/>
            </w:tcBorders>
            <w:tcW w:w="1285" w:type="dxa"/>
            <w:vAlign w:val="bottom"/>
            <w:textDirection w:val="lrTb"/>
            <w:noWrap w:val="false"/>
          </w:tcPr>
          <w:p>
            <w:pPr>
              <w:pStyle w:val="1116"/>
              <w:jc w:val="right"/>
            </w:pPr>
            <w:r>
              <w:t xml:space="preserve">КПП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Style w:val="1116"/>
              <w:rPr>
                <w:i/>
              </w:rPr>
            </w:pPr>
            <w:r>
              <w:rPr>
                <w:i/>
              </w:rPr>
              <w:t xml:space="preserve">Указывается, если принципал является юридическим лицом, аккредитованным филиалом или представительством иностранного юридического лица</w:t>
            </w:r>
            <w:r>
              <w:rPr>
                <w:i/>
              </w:rPr>
            </w:r>
          </w:p>
        </w:tc>
      </w:tr>
      <w:tr>
        <w:tblPrEx/>
        <w:trPr/>
        <w:tc>
          <w:tcPr>
            <w:tcW w:w="3465" w:type="dxa"/>
            <w:textDirection w:val="lrTb"/>
            <w:noWrap w:val="false"/>
          </w:tcPr>
          <w:p>
            <w:pPr>
              <w:pStyle w:val="1116"/>
            </w:pPr>
            <w:r>
              <w:t xml:space="preserve">Место нахождения, телефон, адрес электронной почты принципала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0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tcBorders>
              <w:right w:val="single" w:color="auto" w:sz="4" w:space="0"/>
            </w:tcBorders>
            <w:tcW w:w="1285" w:type="dxa"/>
            <w:vAlign w:val="bottom"/>
            <w:textDirection w:val="lrTb"/>
            <w:noWrap w:val="false"/>
          </w:tcPr>
          <w:p>
            <w:pPr>
              <w:pStyle w:val="1116"/>
              <w:jc w:val="right"/>
            </w:pPr>
            <w:r>
              <w:t xml:space="preserve">по ОКТМО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Style w:val="1116"/>
            </w:pPr>
            <w:r>
              <w:rPr>
                <w:i/>
              </w:rPr>
              <w:t xml:space="preserve">Указывается при наличии</w:t>
            </w:r>
            <w:r/>
          </w:p>
        </w:tc>
      </w:tr>
      <w:tr>
        <w:tblPrEx/>
        <w:trPr/>
        <w:tc>
          <w:tcPr>
            <w:tcW w:w="3465" w:type="dxa"/>
            <w:vMerge w:val="restart"/>
            <w:textDirection w:val="lrTb"/>
            <w:noWrap w:val="false"/>
          </w:tcPr>
          <w:p>
            <w:pPr>
              <w:pStyle w:val="1116"/>
            </w:pPr>
            <w:r>
              <w:t xml:space="preserve">Полное наименование бенефициара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00" w:type="dxa"/>
            <w:vMerge w:val="restart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tcBorders>
              <w:right w:val="single" w:color="auto" w:sz="4" w:space="0"/>
            </w:tcBorders>
            <w:tcW w:w="1285" w:type="dxa"/>
            <w:textDirection w:val="lrTb"/>
            <w:noWrap w:val="false"/>
          </w:tcPr>
          <w:p>
            <w:pPr>
              <w:pStyle w:val="1116"/>
              <w:jc w:val="right"/>
            </w:pPr>
            <w:r>
              <w:t xml:space="preserve">ИНН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</w:tr>
      <w:tr>
        <w:tblPrEx/>
        <w:trPr/>
        <w:tc>
          <w:tcPr>
            <w:tcW w:w="3465" w:type="dxa"/>
            <w:vMerge w:val="continue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tcBorders>
              <w:right w:val="single" w:color="auto" w:sz="4" w:space="0"/>
            </w:tcBorders>
            <w:tcW w:w="1285" w:type="dxa"/>
            <w:textDirection w:val="lrTb"/>
            <w:noWrap w:val="false"/>
          </w:tcPr>
          <w:p>
            <w:pPr>
              <w:pStyle w:val="1116"/>
              <w:jc w:val="right"/>
            </w:pPr>
            <w:r>
              <w:t xml:space="preserve">КПП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</w:tr>
      <w:tr>
        <w:tblPrEx/>
        <w:trPr/>
        <w:tc>
          <w:tcPr>
            <w:tcW w:w="3465" w:type="dxa"/>
            <w:textDirection w:val="lrTb"/>
            <w:noWrap w:val="false"/>
          </w:tcPr>
          <w:p>
            <w:pPr>
              <w:pStyle w:val="1116"/>
            </w:pPr>
            <w:r>
              <w:t xml:space="preserve">Место нахождения, телефон, адрес электронной почты бенефициара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0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tcBorders>
              <w:right w:val="single" w:color="auto" w:sz="4" w:space="0"/>
            </w:tcBorders>
            <w:tcW w:w="1285" w:type="dxa"/>
            <w:vAlign w:val="bottom"/>
            <w:textDirection w:val="lrTb"/>
            <w:noWrap w:val="false"/>
          </w:tcPr>
          <w:p>
            <w:pPr>
              <w:pStyle w:val="1116"/>
              <w:jc w:val="right"/>
            </w:pPr>
            <w:r>
              <w:t xml:space="preserve">по ОКТМО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</w:tr>
    </w:tbl>
    <w:p>
      <w:pPr>
        <w:pStyle w:val="1116"/>
        <w:jc w:val="both"/>
      </w:pPr>
      <w:r/>
      <w:r/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9560"/>
      </w:tblGrid>
      <w:tr>
        <w:tblPrEx/>
        <w:trPr/>
        <w:tc>
          <w:tcPr>
            <w:tcW w:w="9560" w:type="dxa"/>
            <w:vAlign w:val="bottom"/>
            <w:textDirection w:val="lrTb"/>
            <w:noWrap w:val="false"/>
          </w:tcPr>
          <w:p>
            <w:pPr>
              <w:pStyle w:val="1116"/>
              <w:jc w:val="center"/>
              <w:outlineLvl w:val="2"/>
            </w:pPr>
            <w:r>
              <w:t xml:space="preserve">Информация о конкурентной закупке, для обеспечения заявки </w:t>
            </w:r>
            <w:r>
              <w:t xml:space="preserve">на участие</w:t>
            </w:r>
            <w:r>
              <w:t xml:space="preserve"> в которой предоставляется независимая гарантия</w:t>
            </w:r>
            <w:r/>
          </w:p>
        </w:tc>
      </w:tr>
    </w:tbl>
    <w:p>
      <w:pPr>
        <w:pStyle w:val="1116"/>
        <w:jc w:val="both"/>
      </w:pPr>
      <w:r/>
      <w:r/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3465"/>
        <w:gridCol w:w="2400"/>
        <w:gridCol w:w="293"/>
        <w:gridCol w:w="1613"/>
        <w:gridCol w:w="293"/>
        <w:gridCol w:w="1496"/>
      </w:tblGrid>
      <w:tr>
        <w:tblPrEx/>
        <w:trPr/>
        <w:tc>
          <w:tcPr>
            <w:tcW w:w="3465" w:type="dxa"/>
            <w:textDirection w:val="lrTb"/>
            <w:noWrap w:val="false"/>
          </w:tcPr>
          <w:p>
            <w:pPr>
              <w:pStyle w:val="1116"/>
            </w:pPr>
            <w:r>
              <w:t xml:space="preserve">Номер извещения об осуществлении конкурентной закупки </w:t>
            </w:r>
            <w:r/>
          </w:p>
        </w:tc>
        <w:tc>
          <w:tcPr>
            <w:tcBorders>
              <w:bottom w:val="single" w:color="auto" w:sz="4" w:space="0"/>
            </w:tcBorders>
            <w:tcW w:w="2400" w:type="dxa"/>
            <w:textDirection w:val="lrTb"/>
            <w:noWrap w:val="false"/>
          </w:tcPr>
          <w:p>
            <w:pPr>
              <w:pStyle w:val="1116"/>
            </w:pPr>
            <w:r>
              <w:rPr>
                <w:i/>
              </w:rPr>
              <w:t xml:space="preserve">Указывается при наличии</w:t>
            </w:r>
            <w:r/>
          </w:p>
        </w:tc>
        <w:tc>
          <w:tcPr>
            <w:gridSpan w:val="2"/>
            <w:tcW w:w="1906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gridSpan w:val="2"/>
            <w:tcW w:w="1789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</w:tr>
      <w:tr>
        <w:tblPrEx/>
        <w:trPr/>
        <w:tc>
          <w:tcPr>
            <w:tcW w:w="3465" w:type="dxa"/>
            <w:textDirection w:val="lrTb"/>
            <w:noWrap w:val="false"/>
          </w:tcPr>
          <w:p>
            <w:pPr>
              <w:pStyle w:val="1116"/>
            </w:pPr>
            <w:r>
              <w:t xml:space="preserve">Предмет договора </w:t>
            </w:r>
            <w:r/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pStyle w:val="1116"/>
              <w:rPr>
                <w:i/>
              </w:rPr>
            </w:pPr>
            <w:r>
              <w:rPr>
                <w:i/>
              </w:rPr>
              <w:t xml:space="preserve">Указывается предмет договора в соответствии с извещением об осуществлении конкурентной закупки.</w:t>
            </w:r>
            <w:r>
              <w:rPr>
                <w:i/>
              </w:rPr>
            </w:r>
          </w:p>
        </w:tc>
        <w:tc>
          <w:tcPr>
            <w:gridSpan w:val="2"/>
            <w:tcW w:w="1906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tcW w:w="1496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</w:tr>
      <w:tr>
        <w:tblPrEx/>
        <w:trPr/>
        <w:tc>
          <w:tcPr>
            <w:gridSpan w:val="6"/>
            <w:tcW w:w="9560" w:type="dxa"/>
            <w:textDirection w:val="lrTb"/>
            <w:noWrap w:val="false"/>
          </w:tcPr>
          <w:p>
            <w:pPr>
              <w:pStyle w:val="1116"/>
              <w:jc w:val="center"/>
              <w:outlineLvl w:val="2"/>
            </w:pPr>
            <w:r>
              <w:t xml:space="preserve">Условия независимой гарантии</w:t>
            </w:r>
            <w:r/>
          </w:p>
        </w:tc>
      </w:tr>
      <w:tr>
        <w:tblPrEx/>
        <w:trPr/>
        <w:tc>
          <w:tcPr>
            <w:tcW w:w="3465" w:type="dxa"/>
            <w:textDirection w:val="lrTb"/>
            <w:noWrap w:val="false"/>
          </w:tcPr>
          <w:p>
            <w:pPr>
              <w:pStyle w:val="1116"/>
            </w:pPr>
            <w:r>
              <w:t xml:space="preserve">Сумма независимой гарантии, подлежащая уплате гарантом бенефициару (далее - сумма независимой гарантии)</w:t>
            </w:r>
            <w:r/>
          </w:p>
        </w:tc>
        <w:tc>
          <w:tcPr>
            <w:tcBorders>
              <w:bottom w:val="single" w:color="auto" w:sz="4" w:space="0"/>
            </w:tcBorders>
            <w:tcW w:w="240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gridSpan w:val="2"/>
            <w:tcW w:w="1906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gridSpan w:val="2"/>
            <w:tcBorders>
              <w:bottom w:val="single" w:color="auto" w:sz="4" w:space="0"/>
            </w:tcBorders>
            <w:tcW w:w="1789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</w:tr>
      <w:tr>
        <w:tblPrEx/>
        <w:trPr/>
        <w:tc>
          <w:tcPr>
            <w:tcW w:w="3465" w:type="dxa"/>
            <w:textDirection w:val="lrTb"/>
            <w:noWrap w:val="false"/>
          </w:tcPr>
          <w:p>
            <w:pPr>
              <w:pStyle w:val="1116"/>
            </w:pPr>
            <w:r>
              <w:t xml:space="preserve">Наименование валюты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0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gridSpan w:val="2"/>
            <w:tcBorders>
              <w:right w:val="single" w:color="auto" w:sz="4" w:space="0"/>
            </w:tcBorders>
            <w:tcW w:w="1906" w:type="dxa"/>
            <w:textDirection w:val="lrTb"/>
            <w:noWrap w:val="false"/>
          </w:tcPr>
          <w:p>
            <w:pPr>
              <w:pStyle w:val="1116"/>
              <w:jc w:val="right"/>
            </w:pPr>
            <w:r>
              <w:t xml:space="preserve">по ОКВ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9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</w:tr>
      <w:tr>
        <w:tblPrEx/>
        <w:trPr/>
        <w:tc>
          <w:tcPr>
            <w:tcW w:w="3465" w:type="dxa"/>
            <w:textDirection w:val="lrTb"/>
            <w:noWrap w:val="false"/>
          </w:tcPr>
          <w:p>
            <w:pPr>
              <w:pStyle w:val="1116"/>
            </w:pPr>
            <w:r>
              <w:t xml:space="preserve">Срок вступления независимой гарантии в силу 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00" w:type="dxa"/>
            <w:textDirection w:val="lrTb"/>
            <w:noWrap w:val="false"/>
          </w:tcPr>
          <w:p>
            <w:pPr>
              <w:pStyle w:val="1116"/>
              <w:rPr>
                <w:i/>
              </w:rPr>
            </w:pPr>
            <w:r>
              <w:rPr>
                <w:i/>
              </w:rPr>
              <w:t xml:space="preserve">«…» месяц 20____года</w:t>
            </w:r>
            <w:r>
              <w:rPr>
                <w:i/>
              </w:rPr>
            </w:r>
          </w:p>
        </w:tc>
        <w:tc>
          <w:tcPr>
            <w:gridSpan w:val="2"/>
            <w:tcW w:w="1906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gridSpan w:val="2"/>
            <w:tcBorders>
              <w:top w:val="single" w:color="auto" w:sz="4" w:space="0"/>
            </w:tcBorders>
            <w:tcW w:w="1789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</w:tr>
      <w:tr>
        <w:tblPrEx/>
        <w:trPr/>
        <w:tc>
          <w:tcPr>
            <w:tcW w:w="3465" w:type="dxa"/>
            <w:textDirection w:val="lrTb"/>
            <w:noWrap w:val="false"/>
          </w:tcPr>
          <w:p>
            <w:pPr>
              <w:pStyle w:val="1116"/>
            </w:pPr>
            <w:r>
              <w:t xml:space="preserve">Срок действия независимой гарантии 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00" w:type="dxa"/>
            <w:textDirection w:val="lrTb"/>
            <w:noWrap w:val="false"/>
          </w:tcPr>
          <w:p>
            <w:pPr>
              <w:pStyle w:val="1116"/>
              <w:rPr>
                <w:i/>
              </w:rPr>
            </w:pPr>
            <w:r>
              <w:rPr>
                <w:i/>
              </w:rPr>
              <w:t xml:space="preserve">«…» месяц 20____года</w:t>
            </w:r>
            <w:r>
              <w:rPr>
                <w:i/>
              </w:rPr>
            </w:r>
          </w:p>
        </w:tc>
        <w:tc>
          <w:tcPr>
            <w:gridSpan w:val="2"/>
            <w:tcW w:w="1906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gridSpan w:val="2"/>
            <w:tcW w:w="1789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</w:tr>
    </w:tbl>
    <w:p>
      <w:pPr>
        <w:pStyle w:val="1116"/>
        <w:jc w:val="both"/>
      </w:pPr>
      <w:r/>
      <w:r/>
    </w:p>
    <w:p>
      <w:pPr>
        <w:pStyle w:val="1116"/>
        <w:jc w:val="both"/>
      </w:pPr>
      <w:r>
        <w:t xml:space="preserve">1. Настоящая независимая гарантия обеспечивает исполнение принципалом его обязательств по заключению договора с бенефициаром (в случае признания принципа</w:t>
      </w:r>
      <w:r>
        <w:t xml:space="preserve">ла в соответствии с Федеральным законом «О закупках товаров, работ, услуг отдельными видами юридических лиц» (далее – Закон о закупках) и положением о закупке бенефициара победителем закупки или иным лицом, с которым по результатам определения поставщика (</w:t>
      </w:r>
      <w:r>
        <w:t xml:space="preserve">подрядчика, исполнителя) заключается договор), по предоставлению обеспечения исполнения договора (если извещением об осуществлении конкурентной закупки установлены требование обеспечения исполнения договора и срок его представления до заключения договора).</w:t>
      </w:r>
      <w:r/>
    </w:p>
    <w:p>
      <w:pPr>
        <w:pStyle w:val="1116"/>
        <w:jc w:val="both"/>
        <w:spacing w:before="240"/>
      </w:pPr>
      <w:r>
        <w:t xml:space="preserve">2. Настоящая независимая гарантия не может быть отозвана гарантом.</w:t>
      </w:r>
      <w:r/>
    </w:p>
    <w:p>
      <w:pPr>
        <w:pStyle w:val="1116"/>
        <w:jc w:val="both"/>
        <w:spacing w:before="240"/>
      </w:pPr>
      <w:r>
        <w:t xml:space="preserve">3. Бенефициар вправе до окончания срока действия настоящей независимой гарантии предъявить в р</w:t>
      </w:r>
      <w:r>
        <w:t xml:space="preserve">азмере обеспечения заявки на участие в закупке, установленном в извещении об осуществлении конкурентной закупки, требование об уплате денежной суммы по настоящей независимой гарантии (далее – требование) при наступлении хотя бы одного из следующих случаев:</w:t>
      </w:r>
      <w:r/>
    </w:p>
    <w:p>
      <w:pPr>
        <w:pStyle w:val="1116"/>
        <w:jc w:val="both"/>
        <w:spacing w:before="240"/>
      </w:pPr>
      <w:r>
        <w:t xml:space="preserve">а) принципал уклонился или отказался от заключения договора с бенефициаром;</w:t>
      </w:r>
      <w:r/>
    </w:p>
    <w:p>
      <w:pPr>
        <w:pStyle w:val="1116"/>
        <w:jc w:val="both"/>
        <w:spacing w:before="240"/>
      </w:pPr>
      <w:r>
        <w:t xml:space="preserve">б) принципал не предоставил или предоставил с нарушением условий, ус</w:t>
      </w:r>
      <w:r>
        <w:t xml:space="preserve">тановленных Законом о закупках, положением о закупке бенефициара обеспечение исполнения договора (если извещением об осуществлении конкурентной закупки установлены требование обеспечения исполнения договора и срок его представления до заключения договора).</w:t>
      </w:r>
      <w:r/>
    </w:p>
    <w:p>
      <w:pPr>
        <w:pStyle w:val="1116"/>
        <w:jc w:val="both"/>
        <w:spacing w:before="240"/>
      </w:pPr>
      <w:r>
        <w:t xml:space="preserve">4. Бенефициар вправе направить гаранту требование в письменной форме на бумажном носителе или в форме электронного документа, подписанного усиленной квалифицированной электронной подписью лица, имеющего право действовать от имени бенефициара.</w:t>
      </w:r>
      <w:r/>
    </w:p>
    <w:p>
      <w:pPr>
        <w:pStyle w:val="1116"/>
        <w:jc w:val="both"/>
        <w:spacing w:before="240"/>
      </w:pPr>
      <w:r>
        <w:t xml:space="preserve">5. Требование в письменной форме на бумажном носителе должно быть направлено (в случае если бенефициар направляет требование гаранту в письменной форме на бумажном носителе) по адресу: ___________ </w:t>
      </w:r>
      <w:hyperlink w:tooltip="&lt;6&gt; Указывается почтовый адрес." w:anchor="Par259" w:history="1">
        <w:r>
          <w:rPr>
            <w:i/>
            <w:sz w:val="24"/>
            <w:szCs w:val="24"/>
          </w:rPr>
          <w:t xml:space="preserve">(указывается</w:t>
        </w:r>
      </w:hyperlink>
      <w:r>
        <w:rPr>
          <w:i/>
          <w:sz w:val="24"/>
          <w:szCs w:val="24"/>
        </w:rPr>
        <w:t xml:space="preserve"> почтовый адрес).</w:t>
      </w:r>
      <w:r/>
    </w:p>
    <w:p>
      <w:pPr>
        <w:pStyle w:val="1116"/>
        <w:jc w:val="both"/>
        <w:spacing w:before="240"/>
        <w:rPr>
          <w:i/>
        </w:rPr>
      </w:pPr>
      <w:r>
        <w:t xml:space="preserve">6. Требование в форме электронного документа должно быть направлено (в случае если бенефициар направляет требование гаранту в форме электронного документа) __________ </w:t>
      </w:r>
      <w:hyperlink w:tooltip="&lt;7&gt; Указываются адрес электронной почты и (или) наименование информационной системы." w:anchor="Par260" w:history="1">
        <w:r>
          <w:rPr>
            <w:sz w:val="24"/>
            <w:szCs w:val="24"/>
          </w:rPr>
          <w:t xml:space="preserve">(</w:t>
        </w:r>
      </w:hyperlink>
      <w:r>
        <w:rPr>
          <w:i/>
          <w:sz w:val="24"/>
          <w:szCs w:val="24"/>
        </w:rPr>
        <w:t xml:space="preserve">Указываются адрес электронной почты и (или) наименование информационной системы).</w:t>
      </w:r>
      <w:r>
        <w:rPr>
          <w:i/>
        </w:rPr>
      </w:r>
    </w:p>
    <w:p>
      <w:pPr>
        <w:pStyle w:val="1116"/>
        <w:jc w:val="both"/>
        <w:spacing w:before="240"/>
      </w:pPr>
      <w:r>
        <w:t xml:space="preserve">7. В случае направления требования бенефициар обязан одновременно с таким требованием направить гаранту:</w:t>
      </w:r>
      <w:r/>
    </w:p>
    <w:p>
      <w:pPr>
        <w:pStyle w:val="1116"/>
        <w:jc w:val="both"/>
        <w:spacing w:before="240"/>
      </w:pPr>
      <w:r>
        <w:t xml:space="preserve">а) документ, содержащий информацию о наступлении хотя бы одного из случаев, предусмотренных </w:t>
      </w:r>
      <w:hyperlink w:tooltip="3. Бенефициар вправе до окончания срока действия настоящей независимой гарантии предъявить в размере обеспечения заявки на участие в закупке, установленном в извещении об осуществлении конкурентной закупки, требование об уплате денежной суммы по настоящей неза" w:anchor="Par209" w:history="1">
        <w:r>
          <w:t xml:space="preserve">пунктом 3</w:t>
        </w:r>
      </w:hyperlink>
      <w:r>
        <w:t xml:space="preserve"> настоящей нез</w:t>
      </w:r>
      <w:r>
        <w:t xml:space="preserve">ависимой гарантии (протокол, составленный в ходе осуществления конкурентной закупки (по результатам этапа конкурентной закупки), или протокол, составленный по итогам конкурентной закупки, или иной предусмотренный положением о закупке бенефициара документ);</w:t>
      </w:r>
      <w:r/>
    </w:p>
    <w:p>
      <w:pPr>
        <w:pStyle w:val="1116"/>
        <w:jc w:val="both"/>
        <w:spacing w:before="240"/>
      </w:pPr>
      <w:r>
        <w:t xml:space="preserve">б) документ, подтверждающий полномочия лица, подписавшего требование по независимой г</w:t>
      </w:r>
      <w:r>
        <w:t xml:space="preserve">арантии от имени бенефициара (доверенность) (в случае если требование по независимой гарантии подписано лицом, не указанным в Едином государственном реестре юридических лиц в качестве лица, имеющего право без доверенности действовать от имени бенефициара).</w:t>
      </w:r>
      <w:r/>
    </w:p>
    <w:p>
      <w:pPr>
        <w:pStyle w:val="1116"/>
        <w:jc w:val="both"/>
        <w:spacing w:before="240"/>
      </w:pPr>
      <w:r>
        <w:t xml:space="preserve">8. В случае направления бенефициаром требования на бумажном носителе представляются оригиналы предусмотренных </w:t>
      </w:r>
      <w:hyperlink w:tooltip="7. В случае направления требования бенефициар обязан одновременно с таким требованием направить гаранту:" w:anchor="Par215" w:history="1">
        <w:r>
          <w:t xml:space="preserve">пунктом 7</w:t>
        </w:r>
      </w:hyperlink>
      <w:r>
        <w:t xml:space="preserve"> настоящей независимой гарантии документов или заверенные бенефициаром их копии. Если копия документа заверена лицом, не указанным в Едином государственном реестре юридических лиц в качестве лица, имеюще</w:t>
      </w:r>
      <w:r>
        <w:t xml:space="preserve">го право без доверенности действовать от имени бенефициара, также представляется документ, подтверждающий полномочия такого лица на осуществление действий от имени бенефициара. В случае направления требования в форме электронного документа предусмотренные </w:t>
      </w:r>
      <w:hyperlink w:tooltip="7. В случае направления требования бенефициар обязан одновременно с таким требованием направить гаранту:" w:anchor="Par215" w:history="1">
        <w:r>
          <w:t xml:space="preserve">пунктом 7</w:t>
        </w:r>
      </w:hyperlink>
      <w:r>
        <w:t xml:space="preserve"> настоящего раздела</w:t>
      </w:r>
      <w:r>
        <w:t xml:space="preserve"> настоящей независимой гарантии документы представляются в форме электронных документов или в форме электронных образов бумажных документов, подписанных усиленной квалифицированной электронной подписью лица, имеющего право действовать от имени бенефициара.</w:t>
      </w:r>
      <w:r/>
    </w:p>
    <w:p>
      <w:pPr>
        <w:pStyle w:val="1116"/>
        <w:jc w:val="both"/>
        <w:spacing w:before="240"/>
      </w:pPr>
      <w:r>
        <w:t xml:space="preserve">9. Гарант обязан рассмотреть требование не позднее 5 рабочих дней со дня, следующего за днем получения указанных требований и документов, предусмотренных </w:t>
      </w:r>
      <w:hyperlink w:tooltip="7. В случае направления требования бенефициар обязан одновременно с таким требованием направить гаранту:" w:anchor="Par215" w:history="1">
        <w:r>
          <w:t xml:space="preserve">пунктом 7</w:t>
        </w:r>
      </w:hyperlink>
      <w:r>
        <w:t xml:space="preserve"> настоящей независимой гарантии.</w:t>
      </w:r>
      <w:r/>
    </w:p>
    <w:p>
      <w:pPr>
        <w:pStyle w:val="1116"/>
        <w:jc w:val="both"/>
        <w:spacing w:before="240"/>
      </w:pPr>
      <w:r>
        <w:t xml:space="preserve">10. Гарант обязан уплатить бенефициару всю денежную сумму по настоящей независимой гарантии не позднее 10 рабочих дней </w:t>
      </w:r>
      <w:r>
        <w:t xml:space="preserve">со дня, следующего за днем получения гарантом требования бенефициара, соответствующего условиям настоящей независимой гарантии, при отсутствии предусмотренных Гражданским кодексом Российской Федерации оснований для отказа в удовлетворении этого требования.</w:t>
      </w:r>
      <w:r/>
    </w:p>
    <w:p>
      <w:pPr>
        <w:pStyle w:val="1116"/>
        <w:jc w:val="both"/>
        <w:spacing w:before="240"/>
      </w:pPr>
      <w:r>
        <w:t xml:space="preserve">11. Обязательство гаранта перед бенефициаром считается исполненным надл</w:t>
      </w:r>
      <w:r>
        <w:t xml:space="preserve">ежащим образом со дня поступления денежных сумм по настоящей независимой гарантии на счет, на котором в соответствии с законодательством Российской Федерации учитываются операции со средствами, поступающими бенефициару, указанный бенефициаром в требовании.</w:t>
      </w:r>
      <w:r/>
    </w:p>
    <w:p>
      <w:pPr>
        <w:pStyle w:val="1116"/>
        <w:jc w:val="both"/>
        <w:spacing w:before="240"/>
      </w:pPr>
      <w:r>
        <w:t xml:space="preserve">12. Гарант в случае просрочки исполнения обя</w:t>
      </w:r>
      <w:r>
        <w:t xml:space="preserve">зательств по настоящей независимой гарантии, требование по которой соответствует условиям настоящей независимой гарантии и предъявлено бенефициаром до окончания срока ее действия, обязан за каждый день просрочки (начиная со дня, следующего за днем истечени</w:t>
      </w:r>
      <w:r>
        <w:t xml:space="preserve">я установленного настоящей независимой гарантией срока оплаты требования, по день исполнения гарантом требования включительно) уплатить бенефициару неустойку (пени) в размере 0,1 процента денежной суммы, подлежащей уплате по настоящей независимой гарантии.</w:t>
      </w:r>
      <w:r/>
    </w:p>
    <w:p>
      <w:pPr>
        <w:pStyle w:val="1116"/>
        <w:jc w:val="both"/>
        <w:spacing w:before="240"/>
      </w:pPr>
      <w:r>
        <w:t xml:space="preserve">13. Все расходы, возникающие в связи с перечислением гарантом денежных средств по настоящей независимой гарантии бенефициару, несет гарант.</w:t>
      </w:r>
      <w:r/>
    </w:p>
    <w:p>
      <w:pPr>
        <w:pStyle w:val="1116"/>
        <w:jc w:val="both"/>
        <w:spacing w:before="240"/>
      </w:pPr>
      <w:r>
        <w:t xml:space="preserve">14. Исключение банка (если настоящая независимая гарантия выдана банком</w:t>
      </w:r>
      <w:r>
        <w:t xml:space="preserve">) из перечня, предусмотренного частью 1.2 статьи 45 Федерального закона «О контрактной системе в сфере закупок товаров, работ, услуг для обеспечения государственных и муниципальных нужд», и фонда содействия кредитованию (гарантийного фонда, фонда поручител</w:t>
      </w:r>
      <w:r>
        <w:t xml:space="preserve">ьств), являющегося участником национальной гарантийной системы поддержки малого и среднего предпринимательства, предусмотренного Федеральным законом «О развитии малого и среднего предпринимательства в Российской Федерации» (если независимая гарантия выдана</w:t>
      </w:r>
      <w:r>
        <w:t xml:space="preserve"> таким фондом), из перечня, предусмотренного частью 1.7 указанной статьи,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гарантии.</w:t>
      </w:r>
      <w:r/>
    </w:p>
    <w:p>
      <w:pPr>
        <w:pStyle w:val="1116"/>
        <w:jc w:val="both"/>
        <w:spacing w:before="240"/>
      </w:pPr>
      <w:r>
        <w:t xml:space="preserve">15. Споры, возникающие в связи с исполнением обязательств по настоящей независимой гарантии, подлежат рассмотрению в арбитражном суде ________ </w:t>
      </w:r>
      <w:hyperlink w:tooltip="&lt;8&gt; Указывается наименование арбитражного суда." w:anchor="Par261" w:history="1">
        <w:r>
          <w:t xml:space="preserve">(</w:t>
        </w:r>
      </w:hyperlink>
      <w:r>
        <w:rPr>
          <w:i/>
          <w:sz w:val="24"/>
          <w:szCs w:val="24"/>
        </w:rPr>
        <w:t xml:space="preserve">Указывается наименование арбитражного суда</w:t>
      </w:r>
      <w:r>
        <w:t xml:space="preserve">).</w:t>
      </w:r>
      <w:r/>
    </w:p>
    <w:p>
      <w:pPr>
        <w:pStyle w:val="1116"/>
        <w:jc w:val="both"/>
        <w:spacing w:before="240"/>
      </w:pPr>
      <w:r>
        <w:t xml:space="preserve">16. Настоящая независимая гарантия выдана в пользу бенефициара, и права требования по ней не могут быть пе</w:t>
      </w:r>
      <w:r>
        <w:t xml:space="preserve">реданы третьему лицу без согласия гаранта, за исключением случая перемены заказчика при осуществлении закупки, при котором право требования по настоящей независимой гарантии может быть передано новому заказчику с предварительным извещением об этом гаранта.</w:t>
      </w:r>
      <w:r/>
    </w:p>
    <w:p>
      <w:pPr>
        <w:pStyle w:val="1116"/>
        <w:jc w:val="both"/>
        <w:spacing w:before="240"/>
      </w:pPr>
      <w:r>
        <w:t xml:space="preserve">17. Дополнительные условия:</w:t>
      </w:r>
      <w:r/>
    </w:p>
    <w:p>
      <w:pPr>
        <w:pStyle w:val="1116"/>
        <w:jc w:val="both"/>
      </w:pPr>
      <w:r/>
      <w:r/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2587"/>
        <w:gridCol w:w="340"/>
        <w:gridCol w:w="1862"/>
        <w:gridCol w:w="340"/>
        <w:gridCol w:w="1810"/>
        <w:gridCol w:w="340"/>
        <w:gridCol w:w="2422"/>
      </w:tblGrid>
      <w:tr>
        <w:tblPrEx/>
        <w:trPr/>
        <w:tc>
          <w:tcPr>
            <w:tcW w:w="2587" w:type="dxa"/>
            <w:vAlign w:val="bottom"/>
            <w:textDirection w:val="lrTb"/>
            <w:noWrap w:val="false"/>
          </w:tcPr>
          <w:p>
            <w:pPr>
              <w:pStyle w:val="1116"/>
            </w:pPr>
            <w:r>
              <w:t xml:space="preserve">Уполномоченное лицо гаранта</w:t>
            </w:r>
            <w:r/>
          </w:p>
        </w:tc>
        <w:tc>
          <w:tcPr>
            <w:tcW w:w="34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tcBorders>
              <w:bottom w:val="single" w:color="auto" w:sz="4" w:space="0"/>
            </w:tcBorders>
            <w:tcW w:w="1862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tcW w:w="34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tcBorders>
              <w:bottom w:val="single" w:color="auto" w:sz="4" w:space="0"/>
            </w:tcBorders>
            <w:tcW w:w="181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tcW w:w="34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tcBorders>
              <w:bottom w:val="single" w:color="auto" w:sz="4" w:space="0"/>
            </w:tcBorders>
            <w:tcW w:w="2422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</w:tr>
      <w:tr>
        <w:tblPrEx/>
        <w:trPr/>
        <w:tc>
          <w:tcPr>
            <w:tcW w:w="2587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tcW w:w="34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tcBorders>
              <w:top w:val="single" w:color="auto" w:sz="4" w:space="0"/>
            </w:tcBorders>
            <w:tcW w:w="1862" w:type="dxa"/>
            <w:textDirection w:val="lrTb"/>
            <w:noWrap w:val="false"/>
          </w:tcPr>
          <w:p>
            <w:pPr>
              <w:pStyle w:val="1116"/>
              <w:jc w:val="center"/>
            </w:pPr>
            <w:r>
              <w:t xml:space="preserve">(должность)</w:t>
            </w:r>
            <w:r/>
          </w:p>
        </w:tc>
        <w:tc>
          <w:tcPr>
            <w:tcW w:w="34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tcBorders>
              <w:top w:val="single" w:color="auto" w:sz="4" w:space="0"/>
            </w:tcBorders>
            <w:tcW w:w="1810" w:type="dxa"/>
            <w:textDirection w:val="lrTb"/>
            <w:noWrap w:val="false"/>
          </w:tcPr>
          <w:p>
            <w:pPr>
              <w:pStyle w:val="1116"/>
              <w:jc w:val="center"/>
            </w:pPr>
            <w:r>
              <w:t xml:space="preserve">(подпись)</w:t>
            </w:r>
            <w:r/>
          </w:p>
        </w:tc>
        <w:tc>
          <w:tcPr>
            <w:tcW w:w="34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tcBorders>
              <w:top w:val="single" w:color="auto" w:sz="4" w:space="0"/>
            </w:tcBorders>
            <w:tcW w:w="2422" w:type="dxa"/>
            <w:textDirection w:val="lrTb"/>
            <w:noWrap w:val="false"/>
          </w:tcPr>
          <w:p>
            <w:pPr>
              <w:pStyle w:val="1116"/>
              <w:jc w:val="center"/>
            </w:pPr>
            <w:r>
              <w:t xml:space="preserve">(расшифровка подписи)</w:t>
            </w:r>
            <w:r/>
          </w:p>
        </w:tc>
      </w:tr>
    </w:tbl>
    <w:p>
      <w:pPr>
        <w:pStyle w:val="1116"/>
        <w:jc w:val="both"/>
      </w:pPr>
      <w:r/>
      <w:r/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3067"/>
        <w:gridCol w:w="4594"/>
        <w:gridCol w:w="2040"/>
      </w:tblGrid>
      <w:tr>
        <w:tblPrEx/>
        <w:trPr/>
        <w:tc>
          <w:tcPr>
            <w:tcW w:w="3067" w:type="dxa"/>
            <w:textDirection w:val="lrTb"/>
            <w:noWrap w:val="false"/>
          </w:tcPr>
          <w:p>
            <w:pPr>
              <w:pStyle w:val="1116"/>
            </w:pPr>
            <w:r>
              <w:t xml:space="preserve">«__» _________ 20__ г.</w:t>
            </w:r>
            <w:r/>
          </w:p>
        </w:tc>
        <w:tc>
          <w:tcPr>
            <w:gridSpan w:val="2"/>
            <w:tcW w:w="6634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</w:tr>
      <w:tr>
        <w:tblPrEx/>
        <w:trPr/>
        <w:tc>
          <w:tcPr>
            <w:tcW w:w="3067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tcBorders>
              <w:right w:val="single" w:color="auto" w:sz="4" w:space="0"/>
            </w:tcBorders>
            <w:tcW w:w="4594" w:type="dxa"/>
            <w:textDirection w:val="lrTb"/>
            <w:noWrap w:val="false"/>
          </w:tcPr>
          <w:p>
            <w:pPr>
              <w:pStyle w:val="1116"/>
              <w:jc w:val="right"/>
            </w:pPr>
            <w:r>
              <w:t xml:space="preserve">Лист №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</w:tr>
      <w:tr>
        <w:tblPrEx/>
        <w:trPr/>
        <w:tc>
          <w:tcPr>
            <w:tcW w:w="3067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tcBorders>
              <w:right w:val="single" w:color="auto" w:sz="4" w:space="0"/>
            </w:tcBorders>
            <w:tcW w:w="4594" w:type="dxa"/>
            <w:textDirection w:val="lrTb"/>
            <w:noWrap w:val="false"/>
          </w:tcPr>
          <w:p>
            <w:pPr>
              <w:pStyle w:val="1116"/>
              <w:jc w:val="right"/>
            </w:pPr>
            <w:r>
              <w:t xml:space="preserve">Всего листов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</w:tr>
    </w:tbl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tabs>
          <w:tab w:val="center" w:pos="4923" w:leader="none"/>
          <w:tab w:val="left" w:pos="6448" w:leader="none"/>
        </w:tabs>
      </w:pPr>
      <w:r/>
      <w:r/>
    </w:p>
    <w:p>
      <w:pPr>
        <w:tabs>
          <w:tab w:val="center" w:pos="4923" w:leader="none"/>
          <w:tab w:val="left" w:pos="644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63"/>
        <w:ind w:left="1900"/>
        <w:spacing w:before="0" w:after="128" w:line="276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63"/>
        <w:ind w:left="1900"/>
        <w:spacing w:before="0" w:after="128" w:line="276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63"/>
        <w:ind w:left="1900"/>
        <w:spacing w:before="0" w:after="128" w:line="276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63"/>
        <w:ind w:left="1900"/>
        <w:spacing w:before="0" w:after="128" w:line="276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63"/>
        <w:ind w:left="1900"/>
        <w:spacing w:before="0" w:after="128" w:line="276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63"/>
        <w:ind w:left="1900"/>
        <w:spacing w:before="0" w:after="128" w:line="276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63"/>
        <w:ind w:left="1900"/>
        <w:spacing w:before="0" w:after="128" w:line="276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63"/>
        <w:ind w:left="1900"/>
        <w:spacing w:before="0" w:after="128" w:line="276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63"/>
        <w:ind w:left="1900"/>
        <w:spacing w:before="0" w:after="128" w:line="276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63"/>
        <w:ind w:left="1900"/>
        <w:spacing w:before="0" w:after="128" w:line="276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63"/>
        <w:ind w:left="1900"/>
        <w:spacing w:before="0" w:after="128" w:line="276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63"/>
        <w:ind w:left="1900"/>
        <w:spacing w:before="0" w:after="128" w:line="276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63"/>
        <w:ind w:left="1900"/>
        <w:spacing w:before="0" w:after="128" w:line="276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63"/>
        <w:ind w:left="1900"/>
        <w:spacing w:before="0" w:after="128" w:line="276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63"/>
        <w:ind w:left="1900"/>
        <w:spacing w:before="0" w:after="128" w:line="276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63"/>
        <w:ind w:left="1900"/>
        <w:spacing w:before="0" w:after="128" w:line="276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spacing w:after="0"/>
        <w:tabs>
          <w:tab w:val="left" w:pos="67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/>
        <w:tabs>
          <w:tab w:val="left" w:pos="675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3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tabs>
          <w:tab w:val="left" w:pos="675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к аукционной документации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16"/>
        <w:jc w:val="center"/>
      </w:pPr>
      <w:r>
        <w:t xml:space="preserve">ТИПОВАЯ ФОРМА</w:t>
      </w:r>
      <w:r/>
    </w:p>
    <w:p>
      <w:pPr>
        <w:pStyle w:val="1116"/>
        <w:jc w:val="center"/>
      </w:pPr>
      <w:r>
        <w:t xml:space="preserve">независимой гарантии, предоставляемой в качестве обеспечения исполнения договора</w:t>
      </w:r>
      <w:r/>
    </w:p>
    <w:p>
      <w:pPr>
        <w:pStyle w:val="1116"/>
        <w:jc w:val="both"/>
      </w:pPr>
      <w:r/>
      <w:r/>
    </w:p>
    <w:tbl>
      <w:tblPr>
        <w:tblW w:w="956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3465"/>
        <w:gridCol w:w="2400"/>
        <w:gridCol w:w="718"/>
        <w:gridCol w:w="567"/>
        <w:gridCol w:w="142"/>
        <w:gridCol w:w="2268"/>
      </w:tblGrid>
      <w:tr>
        <w:tblPrEx/>
        <w:trPr/>
        <w:tc>
          <w:tcPr>
            <w:tcW w:w="3465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gridSpan w:val="4"/>
            <w:tcBorders>
              <w:right w:val="single" w:color="auto" w:sz="4" w:space="0"/>
            </w:tcBorders>
            <w:tcW w:w="3827" w:type="dxa"/>
            <w:textDirection w:val="lrTb"/>
            <w:noWrap w:val="false"/>
          </w:tcPr>
          <w:p>
            <w:pPr>
              <w:pStyle w:val="1116"/>
              <w:jc w:val="right"/>
            </w:pPr>
            <w:r>
              <w:t xml:space="preserve">Дата выдачи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</w:tr>
      <w:tr>
        <w:tblPrEx/>
        <w:trPr/>
        <w:tc>
          <w:tcPr>
            <w:tcW w:w="3465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gridSpan w:val="4"/>
            <w:tcBorders>
              <w:right w:val="single" w:color="auto" w:sz="4" w:space="0"/>
            </w:tcBorders>
            <w:tcW w:w="3827" w:type="dxa"/>
            <w:textDirection w:val="lrTb"/>
            <w:noWrap w:val="false"/>
          </w:tcPr>
          <w:p>
            <w:pPr>
              <w:pStyle w:val="1116"/>
              <w:jc w:val="right"/>
            </w:pPr>
            <w:r>
              <w:t xml:space="preserve">Номер независимой гарантии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pStyle w:val="1116"/>
            </w:pPr>
            <w:r>
              <w:rPr>
                <w:i/>
              </w:rPr>
              <w:t xml:space="preserve">Указывается при наличии</w:t>
            </w:r>
            <w:r/>
          </w:p>
        </w:tc>
      </w:tr>
      <w:tr>
        <w:tblPrEx/>
        <w:trPr/>
        <w:tc>
          <w:tcPr>
            <w:gridSpan w:val="6"/>
            <w:tcBorders>
              <w:right w:val="single" w:color="auto" w:sz="4" w:space="0"/>
            </w:tcBorders>
            <w:tcW w:w="9560" w:type="dxa"/>
            <w:textDirection w:val="lrTb"/>
            <w:noWrap w:val="false"/>
          </w:tcPr>
          <w:p>
            <w:pPr>
              <w:pStyle w:val="1116"/>
              <w:jc w:val="center"/>
              <w:outlineLvl w:val="2"/>
            </w:pPr>
            <w:r>
              <w:t xml:space="preserve">Информация о гаранте, принципале, бенефициаре</w:t>
            </w:r>
            <w:r/>
          </w:p>
        </w:tc>
      </w:tr>
      <w:tr>
        <w:tblPrEx/>
        <w:trPr/>
        <w:tc>
          <w:tcPr>
            <w:tcW w:w="3465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tcW w:w="240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gridSpan w:val="2"/>
            <w:tcBorders>
              <w:right w:val="single" w:color="auto" w:sz="4" w:space="0"/>
            </w:tcBorders>
            <w:tcW w:w="1285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Style w:val="1116"/>
              <w:jc w:val="center"/>
            </w:pPr>
            <w:r>
              <w:t xml:space="preserve">Коды</w:t>
            </w:r>
            <w:r/>
          </w:p>
        </w:tc>
      </w:tr>
      <w:tr>
        <w:tblPrEx/>
        <w:trPr/>
        <w:tc>
          <w:tcPr>
            <w:tcW w:w="3465" w:type="dxa"/>
            <w:vMerge w:val="restart"/>
            <w:textDirection w:val="lrTb"/>
            <w:noWrap w:val="false"/>
          </w:tcPr>
          <w:p>
            <w:pPr>
              <w:pStyle w:val="1116"/>
            </w:pPr>
            <w:r>
              <w:t xml:space="preserve">Полное наименование гаранта</w:t>
            </w:r>
            <w:r/>
          </w:p>
        </w:tc>
        <w:tc>
          <w:tcPr>
            <w:tcBorders>
              <w:bottom w:val="single" w:color="auto" w:sz="4" w:space="0"/>
            </w:tcBorders>
            <w:tcW w:w="2400" w:type="dxa"/>
            <w:vMerge w:val="restart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gridSpan w:val="2"/>
            <w:tcBorders>
              <w:right w:val="single" w:color="auto" w:sz="4" w:space="0"/>
            </w:tcBorders>
            <w:tcW w:w="1285" w:type="dxa"/>
            <w:vAlign w:val="bottom"/>
            <w:textDirection w:val="lrTb"/>
            <w:noWrap w:val="false"/>
          </w:tcPr>
          <w:p>
            <w:pPr>
              <w:pStyle w:val="1116"/>
              <w:jc w:val="right"/>
            </w:pPr>
            <w:r>
              <w:t xml:space="preserve">ИНН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</w:tr>
      <w:tr>
        <w:tblPrEx/>
        <w:trPr/>
        <w:tc>
          <w:tcPr>
            <w:tcW w:w="3465" w:type="dxa"/>
            <w:vMerge w:val="continue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tcBorders>
              <w:bottom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gridSpan w:val="2"/>
            <w:tcBorders>
              <w:right w:val="single" w:color="auto" w:sz="4" w:space="0"/>
            </w:tcBorders>
            <w:tcW w:w="1285" w:type="dxa"/>
            <w:vAlign w:val="bottom"/>
            <w:textDirection w:val="lrTb"/>
            <w:noWrap w:val="false"/>
          </w:tcPr>
          <w:p>
            <w:pPr>
              <w:pStyle w:val="1116"/>
              <w:jc w:val="right"/>
            </w:pPr>
            <w:r>
              <w:t xml:space="preserve">КПП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</w:tr>
      <w:tr>
        <w:tblPrEx/>
        <w:trPr/>
        <w:tc>
          <w:tcPr>
            <w:tcW w:w="3465" w:type="dxa"/>
            <w:vMerge w:val="continue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tcBorders>
              <w:bottom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gridSpan w:val="2"/>
            <w:tcBorders>
              <w:right w:val="single" w:color="auto" w:sz="4" w:space="0"/>
            </w:tcBorders>
            <w:tcW w:w="1285" w:type="dxa"/>
            <w:vAlign w:val="bottom"/>
            <w:textDirection w:val="lrTb"/>
            <w:noWrap w:val="false"/>
          </w:tcPr>
          <w:p>
            <w:pPr>
              <w:pStyle w:val="1116"/>
              <w:jc w:val="right"/>
            </w:pPr>
            <w:r>
              <w:t xml:space="preserve">БИК 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Style w:val="1116"/>
            </w:pPr>
            <w:r>
              <w:rPr>
                <w:i/>
              </w:rPr>
              <w:t xml:space="preserve">Указывается при наличии</w:t>
            </w:r>
            <w:r/>
          </w:p>
        </w:tc>
      </w:tr>
      <w:tr>
        <w:tblPrEx/>
        <w:trPr/>
        <w:tc>
          <w:tcPr>
            <w:tcW w:w="3465" w:type="dxa"/>
            <w:textDirection w:val="lrTb"/>
            <w:noWrap w:val="false"/>
          </w:tcPr>
          <w:p>
            <w:pPr>
              <w:pStyle w:val="1116"/>
            </w:pPr>
            <w:r>
              <w:t xml:space="preserve">Идентификационный код гаранта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0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gridSpan w:val="2"/>
            <w:tcBorders>
              <w:right w:val="single" w:color="auto" w:sz="4" w:space="0"/>
            </w:tcBorders>
            <w:tcW w:w="1285" w:type="dxa"/>
            <w:vAlign w:val="bottom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Style w:val="1116"/>
              <w:jc w:val="center"/>
            </w:pPr>
            <w:r>
              <w:t xml:space="preserve">-</w:t>
            </w:r>
            <w:r/>
          </w:p>
        </w:tc>
      </w:tr>
      <w:tr>
        <w:tblPrEx/>
        <w:trPr/>
        <w:tc>
          <w:tcPr>
            <w:tcW w:w="3465" w:type="dxa"/>
            <w:textDirection w:val="lrTb"/>
            <w:noWrap w:val="false"/>
          </w:tcPr>
          <w:p>
            <w:pPr>
              <w:pStyle w:val="1116"/>
            </w:pPr>
            <w:r>
              <w:t xml:space="preserve">Место нахождения, телефон, адрес электронной почты гаранта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0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gridSpan w:val="2"/>
            <w:tcBorders>
              <w:right w:val="single" w:color="auto" w:sz="4" w:space="0"/>
            </w:tcBorders>
            <w:tcW w:w="1285" w:type="dxa"/>
            <w:vAlign w:val="bottom"/>
            <w:textDirection w:val="lrTb"/>
            <w:noWrap w:val="false"/>
          </w:tcPr>
          <w:p>
            <w:pPr>
              <w:pStyle w:val="1116"/>
              <w:jc w:val="right"/>
            </w:pPr>
            <w:r>
              <w:t xml:space="preserve">по ОКТМО 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Style w:val="1116"/>
            </w:pPr>
            <w:r>
              <w:rPr>
                <w:i/>
              </w:rPr>
              <w:t xml:space="preserve">Указывается при наличии</w:t>
            </w:r>
            <w:r/>
          </w:p>
        </w:tc>
      </w:tr>
      <w:tr>
        <w:tblPrEx/>
        <w:trPr/>
        <w:tc>
          <w:tcPr>
            <w:tcW w:w="3465" w:type="dxa"/>
            <w:vMerge w:val="restart"/>
            <w:textDirection w:val="lrTb"/>
            <w:noWrap w:val="false"/>
          </w:tcPr>
          <w:p>
            <w:pPr>
              <w:pStyle w:val="1116"/>
            </w:pPr>
            <w:r>
              <w:t xml:space="preserve">Полное наименование принципала</w:t>
            </w:r>
            <w:r/>
          </w:p>
        </w:tc>
        <w:tc>
          <w:tcPr>
            <w:tcBorders>
              <w:bottom w:val="single" w:color="auto" w:sz="4" w:space="0"/>
            </w:tcBorders>
            <w:tcW w:w="2400" w:type="dxa"/>
            <w:vMerge w:val="restart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gridSpan w:val="2"/>
            <w:tcBorders>
              <w:right w:val="single" w:color="auto" w:sz="4" w:space="0"/>
            </w:tcBorders>
            <w:tcW w:w="1285" w:type="dxa"/>
            <w:vAlign w:val="bottom"/>
            <w:textDirection w:val="lrTb"/>
            <w:noWrap w:val="false"/>
          </w:tcPr>
          <w:p>
            <w:pPr>
              <w:pStyle w:val="1116"/>
              <w:jc w:val="right"/>
            </w:pPr>
            <w:r>
              <w:t xml:space="preserve">ИНН 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Style w:val="1116"/>
              <w:ind w:left="-62"/>
            </w:pPr>
            <w:r>
              <w:rPr>
                <w:i/>
                <w:sz w:val="16"/>
                <w:szCs w:val="16"/>
              </w:rPr>
              <w:t xml:space="preserve">В случае отсутствия у иностранного лица </w:t>
            </w:r>
            <w:r>
              <w:rPr>
                <w:i/>
                <w:sz w:val="16"/>
                <w:szCs w:val="16"/>
              </w:rPr>
              <w:t xml:space="preserve">идентификационного номера налогоплательщика, присвоенного в соответствии с законодательством Российской Федерации о налогах и сборах, указывается аналог идентификационного номера налогоплательщика в соответствии с законодательством иностранного государства</w:t>
            </w:r>
            <w:r/>
          </w:p>
        </w:tc>
      </w:tr>
      <w:tr>
        <w:tblPrEx/>
        <w:trPr/>
        <w:tc>
          <w:tcPr>
            <w:tcW w:w="3465" w:type="dxa"/>
            <w:vMerge w:val="continue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tcBorders>
              <w:bottom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gridSpan w:val="2"/>
            <w:tcBorders>
              <w:right w:val="single" w:color="auto" w:sz="4" w:space="0"/>
            </w:tcBorders>
            <w:tcW w:w="1285" w:type="dxa"/>
            <w:vAlign w:val="bottom"/>
            <w:textDirection w:val="lrTb"/>
            <w:noWrap w:val="false"/>
          </w:tcPr>
          <w:p>
            <w:pPr>
              <w:pStyle w:val="1116"/>
              <w:jc w:val="right"/>
            </w:pPr>
            <w:r>
              <w:t xml:space="preserve">КПП 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Style w:val="1116"/>
              <w:spacing w:before="240"/>
              <w:rPr>
                <w:i/>
              </w:rPr>
            </w:pPr>
            <w:r>
              <w:rPr>
                <w:i/>
              </w:rPr>
              <w:t xml:space="preserve">Указывается, если принципал является юридическим лицом, аккредитованным филиалом или представительством иностранного юридического лица.</w:t>
            </w:r>
            <w:r>
              <w:rPr>
                <w:i/>
              </w:rPr>
            </w:r>
          </w:p>
          <w:p>
            <w:pPr>
              <w:pStyle w:val="1116"/>
            </w:pPr>
            <w:r/>
            <w:r/>
          </w:p>
        </w:tc>
      </w:tr>
      <w:tr>
        <w:tblPrEx/>
        <w:trPr/>
        <w:tc>
          <w:tcPr>
            <w:tcW w:w="3465" w:type="dxa"/>
            <w:textDirection w:val="lrTb"/>
            <w:noWrap w:val="false"/>
          </w:tcPr>
          <w:p>
            <w:pPr>
              <w:pStyle w:val="1116"/>
            </w:pPr>
            <w:r>
              <w:t xml:space="preserve">Место нахождения, телефон, адрес электронной почты принципала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0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gridSpan w:val="2"/>
            <w:tcBorders>
              <w:right w:val="single" w:color="auto" w:sz="4" w:space="0"/>
            </w:tcBorders>
            <w:tcW w:w="1285" w:type="dxa"/>
            <w:vAlign w:val="bottom"/>
            <w:textDirection w:val="lrTb"/>
            <w:noWrap w:val="false"/>
          </w:tcPr>
          <w:p>
            <w:pPr>
              <w:pStyle w:val="1116"/>
              <w:jc w:val="right"/>
            </w:pPr>
            <w:r>
              <w:t xml:space="preserve">по ОКТМО 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Style w:val="1116"/>
            </w:pPr>
            <w:r>
              <w:rPr>
                <w:i/>
              </w:rPr>
              <w:t xml:space="preserve">Указывается при наличии</w:t>
            </w:r>
            <w:r/>
          </w:p>
        </w:tc>
      </w:tr>
      <w:tr>
        <w:tblPrEx/>
        <w:trPr/>
        <w:tc>
          <w:tcPr>
            <w:tcW w:w="3465" w:type="dxa"/>
            <w:vMerge w:val="restart"/>
            <w:textDirection w:val="lrTb"/>
            <w:noWrap w:val="false"/>
          </w:tcPr>
          <w:p>
            <w:pPr>
              <w:pStyle w:val="1116"/>
            </w:pPr>
            <w:r>
              <w:t xml:space="preserve">Полное наименование бенефициара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00" w:type="dxa"/>
            <w:vMerge w:val="restart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gridSpan w:val="2"/>
            <w:tcBorders>
              <w:right w:val="single" w:color="auto" w:sz="4" w:space="0"/>
            </w:tcBorders>
            <w:tcW w:w="1285" w:type="dxa"/>
            <w:vAlign w:val="bottom"/>
            <w:textDirection w:val="lrTb"/>
            <w:noWrap w:val="false"/>
          </w:tcPr>
          <w:p>
            <w:pPr>
              <w:pStyle w:val="1116"/>
              <w:jc w:val="right"/>
            </w:pPr>
            <w:r>
              <w:t xml:space="preserve">ИНН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</w:tr>
      <w:tr>
        <w:tblPrEx/>
        <w:trPr/>
        <w:tc>
          <w:tcPr>
            <w:tcW w:w="3465" w:type="dxa"/>
            <w:vMerge w:val="continue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00" w:type="dxa"/>
            <w:vMerge w:val="continue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gridSpan w:val="2"/>
            <w:tcBorders>
              <w:right w:val="single" w:color="auto" w:sz="4" w:space="0"/>
            </w:tcBorders>
            <w:tcW w:w="1285" w:type="dxa"/>
            <w:vAlign w:val="bottom"/>
            <w:textDirection w:val="lrTb"/>
            <w:noWrap w:val="false"/>
          </w:tcPr>
          <w:p>
            <w:pPr>
              <w:pStyle w:val="1116"/>
              <w:jc w:val="right"/>
            </w:pPr>
            <w:r>
              <w:t xml:space="preserve">КПП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</w:tr>
      <w:tr>
        <w:tblPrEx/>
        <w:trPr/>
        <w:tc>
          <w:tcPr>
            <w:tcW w:w="3465" w:type="dxa"/>
            <w:textDirection w:val="lrTb"/>
            <w:noWrap w:val="false"/>
          </w:tcPr>
          <w:p>
            <w:pPr>
              <w:pStyle w:val="1116"/>
            </w:pPr>
            <w:r>
              <w:t xml:space="preserve">Место нахождения, телефон, адрес электронной почты бенефициара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0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gridSpan w:val="2"/>
            <w:tcBorders>
              <w:right w:val="single" w:color="auto" w:sz="4" w:space="0"/>
            </w:tcBorders>
            <w:tcW w:w="1285" w:type="dxa"/>
            <w:vAlign w:val="bottom"/>
            <w:textDirection w:val="lrTb"/>
            <w:noWrap w:val="false"/>
          </w:tcPr>
          <w:p>
            <w:pPr>
              <w:pStyle w:val="1116"/>
              <w:jc w:val="right"/>
            </w:pPr>
            <w:r>
              <w:t xml:space="preserve">по ОКТМО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</w:tr>
      <w:tr>
        <w:tblPrEx/>
        <w:trPr/>
        <w:tc>
          <w:tcPr>
            <w:gridSpan w:val="6"/>
            <w:tcW w:w="9560" w:type="dxa"/>
            <w:vAlign w:val="bottom"/>
            <w:textDirection w:val="lrTb"/>
            <w:noWrap w:val="false"/>
          </w:tcPr>
          <w:p>
            <w:pPr>
              <w:pStyle w:val="1116"/>
              <w:jc w:val="center"/>
              <w:outlineLvl w:val="2"/>
            </w:pPr>
            <w:r>
              <w:t xml:space="preserve">Информация о закупке, для обеспечения договора, заключаемого при осуществлении которой, предоставляется независимая гарантия</w:t>
            </w:r>
            <w:r/>
          </w:p>
        </w:tc>
      </w:tr>
      <w:tr>
        <w:tblPrEx/>
        <w:trPr/>
        <w:tc>
          <w:tcPr>
            <w:tcW w:w="3465" w:type="dxa"/>
            <w:vAlign w:val="bottom"/>
            <w:textDirection w:val="lrTb"/>
            <w:noWrap w:val="false"/>
          </w:tcPr>
          <w:p>
            <w:pPr>
              <w:pStyle w:val="1116"/>
            </w:pPr>
            <w:r>
              <w:t xml:space="preserve">Номер извещения об осуществлении конкурентной закупки </w:t>
            </w:r>
            <w:r/>
          </w:p>
        </w:tc>
        <w:tc>
          <w:tcPr>
            <w:tcBorders>
              <w:bottom w:val="single" w:color="auto" w:sz="4" w:space="0"/>
            </w:tcBorders>
            <w:tcW w:w="2400" w:type="dxa"/>
            <w:textDirection w:val="lrTb"/>
            <w:noWrap w:val="false"/>
          </w:tcPr>
          <w:p>
            <w:pPr>
              <w:pStyle w:val="1116"/>
            </w:pPr>
            <w:r>
              <w:rPr>
                <w:i/>
              </w:rPr>
              <w:t xml:space="preserve">Указывается при наличии</w:t>
            </w:r>
            <w:r/>
          </w:p>
        </w:tc>
        <w:tc>
          <w:tcPr>
            <w:gridSpan w:val="4"/>
            <w:tcW w:w="3695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</w:tr>
      <w:tr>
        <w:tblPrEx/>
        <w:trPr/>
        <w:tc>
          <w:tcPr>
            <w:tcW w:w="3465" w:type="dxa"/>
            <w:vAlign w:val="bottom"/>
            <w:textDirection w:val="lrTb"/>
            <w:noWrap w:val="false"/>
          </w:tcPr>
          <w:p>
            <w:pPr>
              <w:pStyle w:val="1116"/>
              <w:rPr>
                <w:i/>
              </w:rPr>
            </w:pPr>
            <w:r>
              <w:t xml:space="preserve">Предмет договора</w:t>
            </w:r>
            <w:r>
              <w:rPr>
                <w:i/>
              </w:rPr>
              <w:t xml:space="preserve"> </w:t>
            </w:r>
            <w:r>
              <w:rPr>
                <w:i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pStyle w:val="1116"/>
              <w:rPr>
                <w:i/>
              </w:rPr>
            </w:pPr>
            <w:r>
              <w:rPr>
                <w:i/>
              </w:rPr>
              <w:t xml:space="preserve">Указывается предмет договора в соответствии с извещением об осуществлении конкурентной закупки</w:t>
            </w:r>
            <w:r>
              <w:rPr>
                <w:i/>
              </w:rPr>
            </w:r>
          </w:p>
        </w:tc>
        <w:tc>
          <w:tcPr>
            <w:gridSpan w:val="3"/>
            <w:tcW w:w="2977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</w:tr>
      <w:tr>
        <w:tblPrEx/>
        <w:trPr/>
        <w:tc>
          <w:tcPr>
            <w:gridSpan w:val="6"/>
            <w:tcW w:w="9560" w:type="dxa"/>
            <w:vAlign w:val="bottom"/>
            <w:textDirection w:val="lrTb"/>
            <w:noWrap w:val="false"/>
          </w:tcPr>
          <w:p>
            <w:pPr>
              <w:pStyle w:val="1116"/>
              <w:jc w:val="center"/>
              <w:outlineLvl w:val="2"/>
            </w:pPr>
            <w:r>
              <w:t xml:space="preserve">Условия независимой гарантии</w:t>
            </w:r>
            <w:r/>
          </w:p>
        </w:tc>
      </w:tr>
      <w:tr>
        <w:tblPrEx/>
        <w:trPr/>
        <w:tc>
          <w:tcPr>
            <w:tcW w:w="3465" w:type="dxa"/>
            <w:vAlign w:val="bottom"/>
            <w:textDirection w:val="lrTb"/>
            <w:noWrap w:val="false"/>
          </w:tcPr>
          <w:p>
            <w:pPr>
              <w:pStyle w:val="1116"/>
            </w:pPr>
            <w:r>
              <w:t xml:space="preserve">Сумма независимой гарантии, подлежащая уплате гарантом бенефициару (далее - сумма независимой гарантии)</w:t>
            </w:r>
            <w:r/>
          </w:p>
        </w:tc>
        <w:tc>
          <w:tcPr>
            <w:tcBorders>
              <w:bottom w:val="single" w:color="auto" w:sz="4" w:space="0"/>
            </w:tcBorders>
            <w:tcW w:w="240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gridSpan w:val="4"/>
            <w:tcW w:w="3695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</w:tr>
      <w:tr>
        <w:tblPrEx/>
        <w:trPr/>
        <w:tc>
          <w:tcPr>
            <w:tcW w:w="3465" w:type="dxa"/>
            <w:textDirection w:val="lrTb"/>
            <w:noWrap w:val="false"/>
          </w:tcPr>
          <w:p>
            <w:pPr>
              <w:pStyle w:val="1116"/>
            </w:pPr>
            <w:r>
              <w:t xml:space="preserve">Наименование валюты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0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gridSpan w:val="3"/>
            <w:tcBorders>
              <w:right w:val="single" w:color="auto" w:sz="4" w:space="0"/>
            </w:tcBorders>
            <w:tcW w:w="1427" w:type="dxa"/>
            <w:textDirection w:val="lrTb"/>
            <w:noWrap w:val="false"/>
          </w:tcPr>
          <w:p>
            <w:pPr>
              <w:pStyle w:val="1116"/>
              <w:jc w:val="right"/>
            </w:pPr>
            <w:r>
              <w:t xml:space="preserve">по ОКВ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</w:tr>
      <w:tr>
        <w:tblPrEx/>
        <w:trPr/>
        <w:tc>
          <w:tcPr>
            <w:tcW w:w="3465" w:type="dxa"/>
            <w:vAlign w:val="bottom"/>
            <w:textDirection w:val="lrTb"/>
            <w:noWrap w:val="false"/>
          </w:tcPr>
          <w:p>
            <w:pPr>
              <w:pStyle w:val="1116"/>
            </w:pPr>
            <w:r>
              <w:t xml:space="preserve">Срок вступления независимой гарантии в силу 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00" w:type="dxa"/>
            <w:textDirection w:val="lrTb"/>
            <w:noWrap w:val="false"/>
          </w:tcPr>
          <w:p>
            <w:pPr>
              <w:pStyle w:val="1116"/>
            </w:pPr>
            <w:r>
              <w:t xml:space="preserve">«__» месяц 20__года</w:t>
            </w:r>
            <w:r/>
          </w:p>
        </w:tc>
        <w:tc>
          <w:tcPr>
            <w:gridSpan w:val="4"/>
            <w:tcW w:w="3695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</w:tr>
      <w:tr>
        <w:tblPrEx/>
        <w:trPr/>
        <w:tc>
          <w:tcPr>
            <w:tcW w:w="3465" w:type="dxa"/>
            <w:vAlign w:val="bottom"/>
            <w:textDirection w:val="lrTb"/>
            <w:noWrap w:val="false"/>
          </w:tcPr>
          <w:p>
            <w:pPr>
              <w:pStyle w:val="1116"/>
            </w:pPr>
            <w:r>
              <w:t xml:space="preserve">Срок действия независимой гарантии 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00" w:type="dxa"/>
            <w:textDirection w:val="lrTb"/>
            <w:noWrap w:val="false"/>
          </w:tcPr>
          <w:p>
            <w:pPr>
              <w:pStyle w:val="1116"/>
            </w:pPr>
            <w:r>
              <w:t xml:space="preserve">«__» месяц 20__года</w:t>
            </w:r>
            <w:r/>
          </w:p>
        </w:tc>
        <w:tc>
          <w:tcPr>
            <w:gridSpan w:val="4"/>
            <w:tcW w:w="3695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</w:tr>
    </w:tbl>
    <w:p>
      <w:pPr>
        <w:pStyle w:val="1116"/>
        <w:jc w:val="both"/>
      </w:pPr>
      <w:r/>
      <w:r/>
    </w:p>
    <w:p>
      <w:pPr>
        <w:pStyle w:val="1116"/>
        <w:jc w:val="both"/>
      </w:pPr>
      <w:r>
        <w:t xml:space="preserve">1. Настоящая независимая гарантия обеспечивает исполнение принципалом его обязательств, предусмотренных договором, заключенным (заключаемым) с бенефициаром, включающих в том числе обязательства принципала по уплате неустоек (штрафов, пеней).</w:t>
      </w:r>
      <w:r/>
    </w:p>
    <w:p>
      <w:pPr>
        <w:pStyle w:val="1116"/>
        <w:jc w:val="both"/>
        <w:spacing w:before="240"/>
      </w:pPr>
      <w:r>
        <w:t xml:space="preserve">2. Настоящая независимая гарантия не может быть отозвана гарантом.</w:t>
      </w:r>
      <w:r/>
    </w:p>
    <w:p>
      <w:pPr>
        <w:pStyle w:val="1116"/>
        <w:jc w:val="both"/>
        <w:spacing w:before="240"/>
      </w:pPr>
      <w:r>
        <w:t xml:space="preserve">3. Бенефициар в случае неисполне</w:t>
      </w:r>
      <w:r>
        <w:t xml:space="preserve">ния или ненадлежащего исполнения принципалом обязательств, обеспеченных настоящей независимой гарантией, вправе до окончания ее срока действия предъявить требование об уплате денежной суммы по независимой гарантии (далее – требование) в размере цены догово</w:t>
      </w:r>
      <w:r>
        <w:t xml:space="preserve">ра, уменьшенном на сумму, пропорциональную объему исполненных принципалом обязательств, предусмотренных договором, в отношении которых бенефициаром осуществлена приемка, но не превышающем размер обеспечения исполнения договора и сумму независимой гарантии.</w:t>
      </w:r>
      <w:r/>
    </w:p>
    <w:p>
      <w:pPr>
        <w:pStyle w:val="1116"/>
        <w:jc w:val="both"/>
        <w:spacing w:before="240"/>
      </w:pPr>
      <w:r>
        <w:t xml:space="preserve">4. Бенефициар вправе направить гаранту требование в письменной форме на бумажном носителе или в форме электронного документа, подписанного усиленной квалифицированной электронной подписью лица, имеющего право действовать от имени бенефициара.</w:t>
      </w:r>
      <w:r/>
    </w:p>
    <w:p>
      <w:pPr>
        <w:pStyle w:val="1116"/>
        <w:jc w:val="both"/>
        <w:spacing w:before="240"/>
      </w:pPr>
      <w:r>
        <w:t xml:space="preserve">5. Требование в письменной форме на бумажном носителе должно быть направлено (в случае если бенефициар направляет требование гаранту в письменной форме на бумажном носителе) по адресу: ________ </w:t>
      </w:r>
      <w:hyperlink w:tooltip="&lt;6&gt; Указывается почтовый адрес." w:anchor="Par259" w:history="1">
        <w:r>
          <w:rPr>
            <w:i/>
            <w:sz w:val="24"/>
            <w:szCs w:val="24"/>
          </w:rPr>
          <w:t xml:space="preserve">(указывается</w:t>
        </w:r>
      </w:hyperlink>
      <w:r>
        <w:rPr>
          <w:i/>
          <w:sz w:val="24"/>
          <w:szCs w:val="24"/>
        </w:rPr>
        <w:t xml:space="preserve"> почтовый адрес).</w:t>
      </w:r>
      <w:r>
        <w:t xml:space="preserve">.</w:t>
      </w:r>
      <w:r/>
    </w:p>
    <w:p>
      <w:pPr>
        <w:pStyle w:val="1116"/>
        <w:jc w:val="both"/>
        <w:spacing w:before="240"/>
      </w:pPr>
      <w:r>
        <w:t xml:space="preserve">6. Требование в форме электронного документа должно быть направлено (в случае если бенефициар направляет требование гаранту в форме электронного документа) ________ </w:t>
      </w:r>
      <w:hyperlink w:tooltip="&lt;7&gt; Указываются адрес электронной почты и (или) наименование информационной системы." w:anchor="Par260" w:history="1">
        <w:r>
          <w:rPr>
            <w:sz w:val="24"/>
            <w:szCs w:val="24"/>
          </w:rPr>
          <w:t xml:space="preserve">(</w:t>
        </w:r>
      </w:hyperlink>
      <w:r>
        <w:rPr>
          <w:i/>
          <w:sz w:val="24"/>
          <w:szCs w:val="24"/>
        </w:rPr>
        <w:t xml:space="preserve">Указываются адрес электронной почты и (или) наименование информационной системы).</w:t>
      </w:r>
      <w:r>
        <w:t xml:space="preserve">.</w:t>
      </w:r>
      <w:r/>
    </w:p>
    <w:p>
      <w:pPr>
        <w:pStyle w:val="1116"/>
        <w:jc w:val="both"/>
        <w:spacing w:before="240"/>
      </w:pPr>
      <w:r>
        <w:t xml:space="preserve">7. В случае направления требования бенефициар обязан одновременно с таким требованием направить гаранту:</w:t>
      </w:r>
      <w:r/>
    </w:p>
    <w:p>
      <w:pPr>
        <w:pStyle w:val="1116"/>
        <w:jc w:val="both"/>
        <w:spacing w:before="240"/>
      </w:pPr>
      <w:r>
        <w:t xml:space="preserve">а) расчет суммы, включаемой в требование по настоящей независимой гарантии;</w:t>
      </w:r>
      <w:r/>
    </w:p>
    <w:p>
      <w:pPr>
        <w:pStyle w:val="1116"/>
        <w:jc w:val="both"/>
        <w:spacing w:before="240"/>
      </w:pPr>
      <w:r>
        <w:t xml:space="preserve">б) документ, содержащий указание на нарушения принципалом обязательств, предусмотренных договором;</w:t>
      </w:r>
      <w:r/>
    </w:p>
    <w:p>
      <w:pPr>
        <w:pStyle w:val="1116"/>
        <w:jc w:val="both"/>
        <w:spacing w:before="240"/>
      </w:pPr>
      <w:r>
        <w:t xml:space="preserve">в) документ, подтверждающий полномочия лица, подписавшего требование по настоящей независимой гарантии от</w:t>
      </w:r>
      <w:r>
        <w:t xml:space="preserve"> имени бенефициара (доверенность) (в случае если требование по настоящей независимой гарантии подписано лицом, не указанным в Едином государственном реестре юридических лиц в качестве лица, имеющего право без доверенности действовать от имени бенефициара).</w:t>
      </w:r>
      <w:r/>
    </w:p>
    <w:p>
      <w:pPr>
        <w:pStyle w:val="1116"/>
        <w:jc w:val="both"/>
        <w:spacing w:before="240"/>
      </w:pPr>
      <w:r>
        <w:t xml:space="preserve">8. В случае направления требования бенефициаром на бумажном носителе представляются оригиналы предусмотренных </w:t>
      </w:r>
      <w:hyperlink w:tooltip="7. В случае направления требования бенефициар обязан одновременно с таким требованием направить гаранту:" w:anchor="Par486" w:history="1">
        <w:r>
          <w:t xml:space="preserve">пунктом 7</w:t>
        </w:r>
      </w:hyperlink>
      <w:r>
        <w:t xml:space="preserve"> настоящей независимой гарантии документов или заверенные бенефициаром их копии. Если копия документа заверена лицом, не указанным в Едином государственном реестре юридических лиц в </w:t>
      </w:r>
      <w:r>
        <w:t xml:space="preserve">качестве лица, имеюще</w:t>
      </w:r>
      <w:r>
        <w:t xml:space="preserve">го право без доверенности действовать от имени бенефициара, также представляется документ, подтверждающий полномочия такого лица на осуществление действий от имени бенефициара. В случае направления требования в форме электронного документа предусмотренные </w:t>
      </w:r>
      <w:hyperlink w:tooltip="7. В случае направления требования бенефициар обязан одновременно с таким требованием направить гаранту:" w:anchor="Par486" w:history="1">
        <w:r>
          <w:t xml:space="preserve">пунктом 7</w:t>
        </w:r>
      </w:hyperlink>
      <w:r>
        <w:t xml:space="preserve"> настоящей независимой гарантии документы представляются в форме электронных документов или в форме электронных образов бумажных документов, подписанных усиленной квалифицированной электронной подписью лица, имеющего право действовать от имени бенефициара.</w:t>
      </w:r>
      <w:r/>
    </w:p>
    <w:p>
      <w:pPr>
        <w:pStyle w:val="1116"/>
        <w:jc w:val="both"/>
        <w:spacing w:before="240"/>
      </w:pPr>
      <w:r>
        <w:t xml:space="preserve">9. Гарант обязан рассмотреть требование не позднее 5 рабочих дней со дня, следующего за днем получения указанного требования и документов, предусмотренных </w:t>
      </w:r>
      <w:hyperlink w:tooltip="7. В случае направления требования бенефициар обязан одновременно с таким требованием направить гаранту:" w:anchor="Par486" w:history="1">
        <w:r>
          <w:t xml:space="preserve">пунктом 7</w:t>
        </w:r>
      </w:hyperlink>
      <w:r>
        <w:t xml:space="preserve"> настоящей независимой гарантии.</w:t>
      </w:r>
      <w:r/>
    </w:p>
    <w:p>
      <w:pPr>
        <w:pStyle w:val="1116"/>
        <w:jc w:val="both"/>
        <w:spacing w:before="240"/>
      </w:pPr>
      <w:r>
        <w:t xml:space="preserve">10. Гарант обязан уплатить бенефициару денежную сумму по настоящей независимой гарантии в размере, указанном в требовании, не позднее 10 рабочих дней </w:t>
      </w:r>
      <w:r>
        <w:t xml:space="preserve">со дня, следующего за днем получения гарантом требования бенефициара, соответствующего условиям настоящей независимой гарантии, при отсутствии предусмотренных Гражданским кодексом Российской Федерации оснований для отказа в удовлетворении этого требования.</w:t>
      </w:r>
      <w:r/>
    </w:p>
    <w:p>
      <w:pPr>
        <w:pStyle w:val="1116"/>
        <w:jc w:val="both"/>
        <w:spacing w:before="240"/>
      </w:pPr>
      <w:r>
        <w:t xml:space="preserve">11. Обязательство гаранта перед бенефициаром считается исполненным надл</w:t>
      </w:r>
      <w:r>
        <w:t xml:space="preserve">ежащим образом со дня поступления денежных сумм по настоящей независимой гарантии на счет, на котором в соответствии с законодательством Российской Федерации учитываются операции со средствами, поступающими бенефициару, указанный бенефициаром в требовании.</w:t>
      </w:r>
      <w:r/>
    </w:p>
    <w:p>
      <w:pPr>
        <w:pStyle w:val="1116"/>
        <w:jc w:val="both"/>
        <w:spacing w:before="240"/>
      </w:pPr>
      <w:r>
        <w:t xml:space="preserve">12. Гарант в случае просрочки исполнения обя</w:t>
      </w:r>
      <w:r>
        <w:t xml:space="preserve">зательств по настоящей независимой гарантии, требование по которой соответствует условиям настоящей независимой гарантии и предъявлено бенефициаром до окончания срока ее действия, обязан за каждый день просрочки (начиная со дня, следующего за днем истечени</w:t>
      </w:r>
      <w:r>
        <w:t xml:space="preserve">я установленного настоящей независимой гарантией срока оплаты требования, по день исполнения гарантом требования включительно) уплатить бенефициару неустойку (пени) в размере 0,1 процента денежной суммы, подлежащей уплате по настоящей независимой гарантии.</w:t>
      </w:r>
      <w:r/>
    </w:p>
    <w:p>
      <w:pPr>
        <w:pStyle w:val="1116"/>
        <w:jc w:val="both"/>
        <w:spacing w:before="240"/>
      </w:pPr>
      <w:r>
        <w:t xml:space="preserve">13. Все расходы, возникающие в связи с перечислением гарантом денежных средств по настоящей независимой гарантии бенефициару, несет гарант.</w:t>
      </w:r>
      <w:r/>
    </w:p>
    <w:p>
      <w:pPr>
        <w:pStyle w:val="1116"/>
        <w:jc w:val="both"/>
        <w:spacing w:before="240"/>
      </w:pPr>
      <w:r>
        <w:t xml:space="preserve">14. Исключение банка (если настоящая независимая гарантия выдана банк</w:t>
      </w:r>
      <w:r>
        <w:t xml:space="preserve">ом) из перечня, предусмотренного частью 1.2 статьи 45 Федерального закона «О контрактной системе в сфере закупок товаров, работ, услуг для обеспечения государственных и муниципальных нужд», фонда содействия кредитованию (гарантийного фонда, фонда поручител</w:t>
      </w:r>
      <w:r>
        <w:t xml:space="preserve">ьств), являющегося участником национальной гарантийной системы поддержки малого и среднего предпринимательства, предусмотренного Федеральным законом «О развитии малого и среднего предпринимательства в Российской Федерации» (если независимая гарантия выдана</w:t>
      </w:r>
      <w:r>
        <w:t xml:space="preserve"> таким фондом), из перечня, предусмотренного частью 1.7 указанной статьи,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гарантии.</w:t>
      </w:r>
      <w:r/>
    </w:p>
    <w:p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15. Споры, возникающие в связи с исполнением обязательств по настоящей независимой гарантии, подлежат рассмотрению в арбитражном суде ________ 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16"/>
        <w:jc w:val="both"/>
      </w:pPr>
      <w:r/>
      <w:hyperlink w:tooltip="&lt;8&gt; Указывается наименование арбитражного суда." w:anchor="Par261" w:history="1">
        <w:r>
          <w:t xml:space="preserve">(</w:t>
        </w:r>
      </w:hyperlink>
      <w:r>
        <w:rPr>
          <w:i/>
        </w:rPr>
        <w:t xml:space="preserve">Указывается наименование арбитражного суда</w:t>
      </w:r>
      <w:r>
        <w:t xml:space="preserve">).</w:t>
      </w:r>
      <w:r/>
    </w:p>
    <w:p>
      <w:pPr>
        <w:pStyle w:val="1116"/>
        <w:jc w:val="both"/>
      </w:pPr>
      <w:r>
        <w:t xml:space="preserve">16. Настоящая независимая гарантия выдана в пользу бенефициара, и права требования по ней не мог</w:t>
      </w:r>
      <w:r>
        <w:t xml:space="preserve">ут быть переданы третьему лицу без согласия гаранта, за исключением случая перемены заказчика при осуществлении закупки, при котором право требования по независимой гарантии может быть передано новому заказчику с предварительным извещением об этом гаранта.</w:t>
      </w:r>
      <w:r/>
    </w:p>
    <w:p>
      <w:pPr>
        <w:pStyle w:val="1116"/>
        <w:jc w:val="both"/>
      </w:pPr>
      <w:r>
        <w:t xml:space="preserve">17. Дополнительные условия (в том числе предусмотренные условиями договора):</w:t>
      </w:r>
      <w:r/>
    </w:p>
    <w:p>
      <w:pPr>
        <w:jc w:val="both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2587"/>
        <w:gridCol w:w="340"/>
        <w:gridCol w:w="1862"/>
        <w:gridCol w:w="340"/>
        <w:gridCol w:w="1810"/>
        <w:gridCol w:w="340"/>
        <w:gridCol w:w="2422"/>
      </w:tblGrid>
      <w:tr>
        <w:tblPrEx/>
        <w:trPr>
          <w:trHeight w:val="196"/>
        </w:trPr>
        <w:tc>
          <w:tcPr>
            <w:tcW w:w="2587" w:type="dxa"/>
            <w:vAlign w:val="bottom"/>
            <w:textDirection w:val="lrTb"/>
            <w:noWrap w:val="false"/>
          </w:tcPr>
          <w:p>
            <w:pPr>
              <w:pStyle w:val="1116"/>
            </w:pPr>
            <w:r>
              <w:t xml:space="preserve">Уполномоченное лицо гаранта</w:t>
            </w:r>
            <w:r/>
          </w:p>
        </w:tc>
        <w:tc>
          <w:tcPr>
            <w:tcW w:w="340" w:type="dxa"/>
            <w:textDirection w:val="lrTb"/>
            <w:noWrap w:val="false"/>
          </w:tcPr>
          <w:p>
            <w:pPr>
              <w:pStyle w:val="1116"/>
              <w:ind w:firstLine="709"/>
            </w:pPr>
            <w:r/>
            <w:r/>
          </w:p>
        </w:tc>
        <w:tc>
          <w:tcPr>
            <w:tcBorders>
              <w:bottom w:val="single" w:color="auto" w:sz="4" w:space="0"/>
            </w:tcBorders>
            <w:tcW w:w="1862" w:type="dxa"/>
            <w:textDirection w:val="lrTb"/>
            <w:noWrap w:val="false"/>
          </w:tcPr>
          <w:p>
            <w:pPr>
              <w:pStyle w:val="1116"/>
              <w:ind w:firstLine="709"/>
            </w:pPr>
            <w:r/>
            <w:r/>
          </w:p>
        </w:tc>
        <w:tc>
          <w:tcPr>
            <w:tcW w:w="340" w:type="dxa"/>
            <w:textDirection w:val="lrTb"/>
            <w:noWrap w:val="false"/>
          </w:tcPr>
          <w:p>
            <w:pPr>
              <w:pStyle w:val="1116"/>
              <w:ind w:firstLine="709"/>
            </w:pPr>
            <w:r/>
            <w:r/>
          </w:p>
        </w:tc>
        <w:tc>
          <w:tcPr>
            <w:tcBorders>
              <w:bottom w:val="single" w:color="auto" w:sz="4" w:space="0"/>
            </w:tcBorders>
            <w:tcW w:w="1810" w:type="dxa"/>
            <w:textDirection w:val="lrTb"/>
            <w:noWrap w:val="false"/>
          </w:tcPr>
          <w:p>
            <w:pPr>
              <w:pStyle w:val="1116"/>
              <w:ind w:firstLine="709"/>
            </w:pPr>
            <w:r/>
            <w:r/>
          </w:p>
        </w:tc>
        <w:tc>
          <w:tcPr>
            <w:tcW w:w="340" w:type="dxa"/>
            <w:textDirection w:val="lrTb"/>
            <w:noWrap w:val="false"/>
          </w:tcPr>
          <w:p>
            <w:pPr>
              <w:pStyle w:val="1116"/>
              <w:ind w:firstLine="709"/>
            </w:pPr>
            <w:r/>
            <w:r/>
          </w:p>
        </w:tc>
        <w:tc>
          <w:tcPr>
            <w:tcBorders>
              <w:bottom w:val="single" w:color="auto" w:sz="4" w:space="0"/>
            </w:tcBorders>
            <w:tcW w:w="2422" w:type="dxa"/>
            <w:textDirection w:val="lrTb"/>
            <w:noWrap w:val="false"/>
          </w:tcPr>
          <w:p>
            <w:pPr>
              <w:pStyle w:val="1116"/>
              <w:ind w:firstLine="709"/>
            </w:pPr>
            <w:r/>
            <w:r/>
          </w:p>
        </w:tc>
      </w:tr>
      <w:tr>
        <w:tblPrEx/>
        <w:trPr/>
        <w:tc>
          <w:tcPr>
            <w:tcW w:w="2587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tcW w:w="34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tcBorders>
              <w:top w:val="single" w:color="auto" w:sz="4" w:space="0"/>
            </w:tcBorders>
            <w:tcW w:w="1862" w:type="dxa"/>
            <w:textDirection w:val="lrTb"/>
            <w:noWrap w:val="false"/>
          </w:tcPr>
          <w:p>
            <w:pPr>
              <w:pStyle w:val="1116"/>
              <w:jc w:val="center"/>
            </w:pPr>
            <w:r>
              <w:t xml:space="preserve">(должность)</w:t>
            </w:r>
            <w:r/>
          </w:p>
        </w:tc>
        <w:tc>
          <w:tcPr>
            <w:tcW w:w="34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tcBorders>
              <w:top w:val="single" w:color="auto" w:sz="4" w:space="0"/>
            </w:tcBorders>
            <w:tcW w:w="1810" w:type="dxa"/>
            <w:textDirection w:val="lrTb"/>
            <w:noWrap w:val="false"/>
          </w:tcPr>
          <w:p>
            <w:pPr>
              <w:pStyle w:val="1116"/>
              <w:jc w:val="center"/>
            </w:pPr>
            <w:r>
              <w:t xml:space="preserve">(подпись)</w:t>
            </w:r>
            <w:r/>
          </w:p>
        </w:tc>
        <w:tc>
          <w:tcPr>
            <w:tcW w:w="34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tcBorders>
              <w:top w:val="single" w:color="auto" w:sz="4" w:space="0"/>
            </w:tcBorders>
            <w:tcW w:w="2422" w:type="dxa"/>
            <w:textDirection w:val="lrTb"/>
            <w:noWrap w:val="false"/>
          </w:tcPr>
          <w:p>
            <w:pPr>
              <w:pStyle w:val="1116"/>
              <w:jc w:val="center"/>
            </w:pPr>
            <w:r>
              <w:t xml:space="preserve">(расшифровка подписи)</w:t>
            </w:r>
            <w:r/>
          </w:p>
        </w:tc>
      </w:tr>
    </w:tbl>
    <w:p>
      <w:pPr>
        <w:pStyle w:val="1116"/>
        <w:jc w:val="both"/>
      </w:pPr>
      <w:r/>
      <w:r/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3067"/>
        <w:gridCol w:w="4594"/>
        <w:gridCol w:w="2040"/>
      </w:tblGrid>
      <w:tr>
        <w:tblPrEx/>
        <w:trPr/>
        <w:tc>
          <w:tcPr>
            <w:tcW w:w="3067" w:type="dxa"/>
            <w:textDirection w:val="lrTb"/>
            <w:noWrap w:val="false"/>
          </w:tcPr>
          <w:p>
            <w:pPr>
              <w:pStyle w:val="1116"/>
            </w:pPr>
            <w:r>
              <w:t xml:space="preserve">«__» _________ 20__ г.</w:t>
            </w:r>
            <w:r/>
          </w:p>
        </w:tc>
        <w:tc>
          <w:tcPr>
            <w:gridSpan w:val="2"/>
            <w:tcW w:w="6634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</w:tr>
      <w:tr>
        <w:tblPrEx/>
        <w:trPr/>
        <w:tc>
          <w:tcPr>
            <w:tcW w:w="3067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tcBorders>
              <w:right w:val="single" w:color="auto" w:sz="4" w:space="0"/>
            </w:tcBorders>
            <w:tcW w:w="4594" w:type="dxa"/>
            <w:textDirection w:val="lrTb"/>
            <w:noWrap w:val="false"/>
          </w:tcPr>
          <w:p>
            <w:pPr>
              <w:pStyle w:val="1116"/>
              <w:jc w:val="right"/>
            </w:pPr>
            <w:r>
              <w:t xml:space="preserve">Лист №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</w:tr>
      <w:tr>
        <w:tblPrEx/>
        <w:trPr/>
        <w:tc>
          <w:tcPr>
            <w:tcW w:w="3067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  <w:tc>
          <w:tcPr>
            <w:tcBorders>
              <w:right w:val="single" w:color="auto" w:sz="4" w:space="0"/>
            </w:tcBorders>
            <w:tcW w:w="4594" w:type="dxa"/>
            <w:textDirection w:val="lrTb"/>
            <w:noWrap w:val="false"/>
          </w:tcPr>
          <w:p>
            <w:pPr>
              <w:pStyle w:val="1116"/>
              <w:jc w:val="right"/>
            </w:pPr>
            <w:r>
              <w:t xml:space="preserve">Всего листов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0" w:type="dxa"/>
            <w:textDirection w:val="lrTb"/>
            <w:noWrap w:val="false"/>
          </w:tcPr>
          <w:p>
            <w:pPr>
              <w:pStyle w:val="1116"/>
            </w:pPr>
            <w:r/>
            <w:r/>
          </w:p>
        </w:tc>
      </w:tr>
    </w:tbl>
    <w:p>
      <w:pPr>
        <w:shd w:val="clear" w:color="auto" w:fill="ffffff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1" w:bottom="1134" w:left="1134" w:header="794" w:footer="794" w:gutter="0"/>
          <w:cols w:num="1" w:sep="0" w:space="708" w:equalWidth="1"/>
          <w:docGrid w:linePitch="360"/>
          <w:titlePg/>
        </w:sect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firstLine="567"/>
        <w:jc w:val="right"/>
        <w:spacing w:after="0" w:line="240" w:lineRule="auto"/>
        <w:tabs>
          <w:tab w:val="left" w:pos="675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4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right"/>
        <w:spacing w:line="240" w:lineRule="auto"/>
        <w:tabs>
          <w:tab w:val="left" w:pos="675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к аукционной документации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09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109"/>
        <w:jc w:val="center"/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Форма сведений о наименовании страны происхождения поставляемого товара (услуги)</w:t>
      </w:r>
      <w:r>
        <w:rPr>
          <w:b/>
          <w:sz w:val="24"/>
          <w:szCs w:val="24"/>
        </w:rPr>
      </w:r>
    </w:p>
    <w:p>
      <w:pPr>
        <w:pStyle w:val="1109"/>
        <w:jc w:val="right"/>
        <w:spacing w:after="0" w:line="240" w:lineRule="auto"/>
        <w:rPr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 xml:space="preserve">представляется в формате </w:t>
      </w:r>
      <w:r>
        <w:rPr>
          <w:i/>
          <w:color w:val="ff0000"/>
          <w:sz w:val="24"/>
          <w:szCs w:val="24"/>
          <w:lang w:val="en-US"/>
        </w:rPr>
        <w:t xml:space="preserve">Word</w:t>
      </w:r>
      <w:r>
        <w:rPr>
          <w:color w:val="ff0000"/>
          <w:sz w:val="24"/>
          <w:szCs w:val="24"/>
        </w:rPr>
      </w:r>
    </w:p>
    <w:p>
      <w:pPr>
        <w:pStyle w:val="1109"/>
        <w:jc w:val="right"/>
        <w:spacing w:line="240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  <w:r>
        <w:rPr>
          <w:color w:val="ff0000"/>
          <w:sz w:val="24"/>
          <w:szCs w:val="24"/>
        </w:rPr>
      </w:r>
    </w:p>
    <w:p>
      <w:pPr>
        <w:pStyle w:val="1109"/>
        <w:jc w:val="right"/>
        <w:spacing w:line="240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  <w:r>
        <w:rPr>
          <w:color w:val="ff0000"/>
          <w:sz w:val="24"/>
          <w:szCs w:val="24"/>
        </w:rPr>
      </w:r>
    </w:p>
    <w:p>
      <w:pPr>
        <w:pStyle w:val="1109"/>
        <w:jc w:val="center"/>
        <w:rPr>
          <w:szCs w:val="28"/>
        </w:rPr>
      </w:pPr>
      <w:r>
        <w:rPr>
          <w:szCs w:val="28"/>
        </w:rPr>
        <w:t xml:space="preserve">Сведения о наименовании страны происхождения услуги</w:t>
      </w:r>
      <w:r>
        <w:rPr>
          <w:szCs w:val="28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56"/>
        <w:gridCol w:w="2067"/>
        <w:gridCol w:w="1872"/>
        <w:gridCol w:w="1355"/>
        <w:gridCol w:w="1478"/>
        <w:gridCol w:w="2825"/>
      </w:tblGrid>
      <w:tr>
        <w:tblPrEx/>
        <w:trPr/>
        <w:tc>
          <w:tcPr>
            <w:tcW w:w="22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1028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товара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услуги)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93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Реестровый номер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674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Ед. изм.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735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1405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страны происхождения товара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227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28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Указать наименование услуги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r>
          </w:p>
        </w:tc>
        <w:tc>
          <w:tcPr>
            <w:tcW w:w="93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r>
          </w:p>
        </w:tc>
        <w:tc>
          <w:tcPr>
            <w:tcW w:w="674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Указать ед. изм. согласно ОКЕИ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r>
          </w:p>
        </w:tc>
        <w:tc>
          <w:tcPr>
            <w:tcW w:w="735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Указать количество согласно единицам измерения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r>
          </w:p>
        </w:tc>
        <w:tc>
          <w:tcPr>
            <w:tcW w:w="1405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Указать наименование страны происхождения услуги в соответствии с Общероссийским классификатором стран мира, утвержденным Постановлением Госстандарта России от 14.12.2001 № 529-ст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r>
          </w:p>
        </w:tc>
      </w:tr>
      <w:tr>
        <w:tblPrEx/>
        <w:trPr>
          <w:trHeight w:val="497"/>
        </w:trPr>
        <w:tc>
          <w:tcPr>
            <w:tcW w:w="227" w:type="pct"/>
            <w:textDirection w:val="lrTb"/>
            <w:noWrap w:val="false"/>
          </w:tcPr>
          <w:p>
            <w:pPr>
              <w:pStyle w:val="1109"/>
              <w:ind w:firstLine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…</w:t>
            </w:r>
            <w:r>
              <w:rPr>
                <w:sz w:val="24"/>
                <w:szCs w:val="24"/>
              </w:rPr>
            </w:r>
          </w:p>
        </w:tc>
        <w:tc>
          <w:tcPr>
            <w:tcW w:w="1028" w:type="pct"/>
            <w:textDirection w:val="lrTb"/>
            <w:noWrap w:val="false"/>
          </w:tcPr>
          <w:p>
            <w:pPr>
              <w:pStyle w:val="1109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31" w:type="pct"/>
            <w:textDirection w:val="lrTb"/>
            <w:noWrap w:val="false"/>
          </w:tcPr>
          <w:p>
            <w:pPr>
              <w:pStyle w:val="1109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74" w:type="pct"/>
            <w:textDirection w:val="lrTb"/>
            <w:noWrap w:val="false"/>
          </w:tcPr>
          <w:p>
            <w:pPr>
              <w:pStyle w:val="1109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35" w:type="pct"/>
            <w:textDirection w:val="lrTb"/>
            <w:noWrap w:val="false"/>
          </w:tcPr>
          <w:p>
            <w:pPr>
              <w:pStyle w:val="1109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05" w:type="pct"/>
            <w:textDirection w:val="lrTb"/>
            <w:noWrap w:val="false"/>
          </w:tcPr>
          <w:p>
            <w:pPr>
              <w:pStyle w:val="1109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ind w:firstLine="567"/>
        <w:jc w:val="both"/>
        <w:spacing w:line="240" w:lineRule="auto"/>
        <w:tabs>
          <w:tab w:val="left" w:pos="675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line="240" w:lineRule="auto"/>
        <w:tabs>
          <w:tab w:val="left" w:pos="675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r/>
      <w:r/>
    </w:p>
    <w:p>
      <w:pPr>
        <w:pStyle w:val="906"/>
        <w:spacing w:befor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Представитель, имеющий полномочия подписать заявку на участие в закупке от имени</w:t>
      </w:r>
      <w:r>
        <w:rPr>
          <w:rFonts w:ascii="Times New Roman" w:hAnsi="Times New Roman"/>
          <w:sz w:val="24"/>
          <w:szCs w:val="24"/>
        </w:rPr>
      </w:r>
    </w:p>
    <w:p>
      <w:pPr>
        <w:jc w:val="center"/>
        <w:tabs>
          <w:tab w:val="left" w:pos="8640" w:leader="none"/>
        </w:tabs>
      </w:pPr>
      <w:r>
        <w:t xml:space="preserve">_________________________________________________________________</w:t>
      </w:r>
      <w:r/>
    </w:p>
    <w:p>
      <w:pPr>
        <w:jc w:val="center"/>
        <w:tabs>
          <w:tab w:val="left" w:pos="8640" w:leader="none"/>
        </w:tabs>
      </w:pPr>
      <w:r>
        <w:t xml:space="preserve">(полное наименование претендента)</w:t>
      </w:r>
      <w:r/>
    </w:p>
    <w:p>
      <w:r>
        <w:t xml:space="preserve">Печать</w:t>
      </w:r>
      <w:r>
        <w:tab/>
      </w:r>
      <w:r>
        <w:tab/>
      </w:r>
      <w:r>
        <w:tab/>
        <w:t xml:space="preserve">(должность, подпись, ФИО)</w:t>
      </w:r>
      <w:r/>
    </w:p>
    <w:p>
      <w:pPr>
        <w:pStyle w:val="1097"/>
        <w:rPr>
          <w:sz w:val="24"/>
          <w:szCs w:val="24"/>
        </w:rPr>
      </w:pPr>
      <w:r>
        <w:rPr>
          <w:sz w:val="24"/>
          <w:szCs w:val="24"/>
        </w:rPr>
        <w:t xml:space="preserve">"____" _________ 20__ г.</w:t>
      </w:r>
      <w:r>
        <w:rPr>
          <w:sz w:val="24"/>
          <w:szCs w:val="24"/>
        </w:rPr>
      </w:r>
    </w:p>
    <w:p>
      <w:pPr>
        <w:ind w:firstLine="567"/>
        <w:jc w:val="both"/>
        <w:spacing w:after="0" w:line="240" w:lineRule="auto"/>
        <w:tabs>
          <w:tab w:val="left" w:pos="6750" w:leader="none"/>
        </w:tabs>
        <w:rPr>
          <w:rFonts w:ascii="Times New Roman" w:hAnsi="Times New Roman" w:cs="Times New Roman"/>
          <w:sz w:val="24"/>
          <w:szCs w:val="24"/>
        </w:rPr>
        <w:sectPr>
          <w:headerReference w:type="default" r:id="rId12"/>
          <w:footnotePr/>
          <w:endnotePr/>
          <w:type w:val="nextPage"/>
          <w:pgSz w:w="11906" w:h="16838" w:orient="portrait"/>
          <w:pgMar w:top="1134" w:right="709" w:bottom="1276" w:left="1134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tabs>
          <w:tab w:val="left" w:pos="675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right"/>
        <w:spacing w:after="0" w:line="240" w:lineRule="auto"/>
        <w:tabs>
          <w:tab w:val="left" w:pos="675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5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right"/>
        <w:spacing w:after="0" w:line="240" w:lineRule="auto"/>
        <w:tabs>
          <w:tab w:val="left" w:pos="675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к аукционной документации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Техническое предложение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</w:p>
    <w:p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Номер закупки, номер и предмет лота </w:t>
      </w:r>
      <w:r>
        <w:rPr>
          <w:rFonts w:ascii="Times New Roman" w:hAnsi="Times New Roman" w:cs="Times New Roman"/>
        </w:rPr>
        <w:t xml:space="preserve">________________________________________________________________ (</w:t>
      </w:r>
      <w:r>
        <w:rPr>
          <w:rFonts w:ascii="Times New Roman" w:hAnsi="Times New Roman" w:cs="Times New Roman"/>
          <w:i/>
        </w:rPr>
        <w:t xml:space="preserve">участник должен указать номер закупки, номер и предмет лота, соответствующие указанным в документации</w:t>
      </w:r>
      <w:r>
        <w:rPr>
          <w:rFonts w:ascii="Times New Roman" w:hAnsi="Times New Roman" w:cs="Times New Roman"/>
        </w:rPr>
        <w:t xml:space="preserve">)</w:t>
      </w:r>
      <w:r>
        <w:rPr>
          <w:rFonts w:ascii="Times New Roman" w:hAnsi="Times New Roman" w:cs="Times New Roman"/>
        </w:rPr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Подавая настоящее техническое предложение, обязуюсь:</w:t>
      </w:r>
      <w:r>
        <w:rPr>
          <w:rFonts w:ascii="Times New Roman" w:hAnsi="Times New Roman" w:cs="Times New Roman"/>
        </w:rPr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поставить товары, выполнить работы, оказать услуги, предусмотренные настоящим техническим предложением, в полном соответствии с:</w:t>
      </w:r>
      <w:r>
        <w:rPr>
          <w:rFonts w:ascii="Times New Roman" w:hAnsi="Times New Roman" w:cs="Times New Roman"/>
        </w:rPr>
      </w:r>
    </w:p>
    <w:p>
      <w:pPr>
        <w:pStyle w:val="1071"/>
        <w:ind w:left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-нормативными документами, перечисленными в техническом задании </w:t>
      </w:r>
      <w:r>
        <w:rPr>
          <w:rFonts w:ascii="Times New Roman" w:hAnsi="Times New Roman" w:cs="Times New Roman"/>
          <w:bCs/>
        </w:rPr>
        <w:t xml:space="preserve">документации о закупке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</w:p>
    <w:p>
      <w:pPr>
        <w:pStyle w:val="1071"/>
        <w:ind w:left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-требованиями к безопасности поставляемых товаров, выполненных работ, оказанных услуг, указанными в техническом задании </w:t>
      </w:r>
      <w:r>
        <w:rPr>
          <w:rFonts w:ascii="Times New Roman" w:hAnsi="Times New Roman" w:cs="Times New Roman"/>
          <w:bCs/>
        </w:rPr>
        <w:t xml:space="preserve">документации о закупке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</w:p>
    <w:p>
      <w:pPr>
        <w:pStyle w:val="1071"/>
        <w:ind w:left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-требованиями к качеству поставляемых товаров, выполненных работ, оказанных услуг, указанными в техническом задании </w:t>
      </w:r>
      <w:r>
        <w:rPr>
          <w:rFonts w:ascii="Times New Roman" w:hAnsi="Times New Roman" w:cs="Times New Roman"/>
          <w:bCs/>
        </w:rPr>
        <w:t xml:space="preserve">документации о закупке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</w:p>
    <w:p>
      <w:pPr>
        <w:pStyle w:val="1071"/>
        <w:ind w:left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-требованиями к результату поставки товаров, выполнения работ, оказания услуг, указанными в техническом задании </w:t>
      </w:r>
      <w:r>
        <w:rPr>
          <w:rFonts w:ascii="Times New Roman" w:hAnsi="Times New Roman" w:cs="Times New Roman"/>
          <w:bCs/>
        </w:rPr>
        <w:t xml:space="preserve">документации о закупке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</w:p>
    <w:p>
      <w:pPr>
        <w:pStyle w:val="1071"/>
        <w:ind w:left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б) поставить товар, </w:t>
      </w:r>
      <w:r>
        <w:rPr>
          <w:rFonts w:ascii="Times New Roman" w:hAnsi="Times New Roman" w:cs="Times New Roman"/>
          <w:bCs/>
        </w:rPr>
        <w:t xml:space="preserve">в соответствии с требованиями к упаковке и отгрузке, указанными в техническом задании документации о закупке;</w:t>
      </w:r>
      <w:r>
        <w:rPr>
          <w:rFonts w:ascii="Times New Roman" w:hAnsi="Times New Roman" w:cs="Times New Roman"/>
          <w:bCs/>
        </w:rPr>
      </w:r>
    </w:p>
    <w:p>
      <w:pPr>
        <w:pStyle w:val="1071"/>
        <w:ind w:left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в) поставить товары, выполнить работы, оказать услуги в месте(ах) поставки, выполнения работ, оказания услуг, предусмотренном(</w:t>
      </w:r>
      <w:r>
        <w:rPr>
          <w:rFonts w:ascii="Times New Roman" w:hAnsi="Times New Roman" w:cs="Times New Roman"/>
          <w:bCs/>
        </w:rPr>
        <w:t xml:space="preserve">ых</w:t>
      </w:r>
      <w:r>
        <w:rPr>
          <w:rFonts w:ascii="Times New Roman" w:hAnsi="Times New Roman" w:cs="Times New Roman"/>
          <w:bCs/>
        </w:rPr>
        <w:t xml:space="preserve">) в техническом задании документации о закупке;</w:t>
      </w:r>
      <w:r>
        <w:rPr>
          <w:rFonts w:ascii="Times New Roman" w:hAnsi="Times New Roman" w:cs="Times New Roman"/>
          <w:bCs/>
        </w:rPr>
      </w:r>
    </w:p>
    <w:p>
      <w:pPr>
        <w:pStyle w:val="1071"/>
        <w:ind w:left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г) поставить товар, выполнить работы, оказать услуги в соответствии с условиями и порядком поставки товаров, выполнения работ, оказания услуг, указанными в техническом задании документации о закупке.</w:t>
      </w:r>
      <w:r>
        <w:rPr>
          <w:rFonts w:ascii="Times New Roman" w:hAnsi="Times New Roman" w:cs="Times New Roman"/>
          <w:bCs/>
        </w:rPr>
      </w:r>
    </w:p>
    <w:p>
      <w:pPr>
        <w:pStyle w:val="1071"/>
        <w:ind w:left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2. Подавая настоящее техническое предложение, выражаю свое согласие с формой, порядком и сроками оплаты, указанными в техническом задании документации о закупке.</w:t>
      </w:r>
      <w:r>
        <w:rPr>
          <w:rFonts w:ascii="Times New Roman" w:hAnsi="Times New Roman" w:cs="Times New Roman"/>
          <w:bCs/>
        </w:rPr>
      </w:r>
    </w:p>
    <w:p>
      <w:pPr>
        <w:pStyle w:val="1071"/>
        <w:ind w:left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3. Подавая настоящее техническое предложение, подтверждаю, что порядок формирования предложенной цены соответствует требованиям технического задания и включает все расходы, предусмотренные в техническом задании документации о закупке.</w:t>
      </w:r>
      <w:r>
        <w:rPr>
          <w:rFonts w:ascii="Times New Roman" w:hAnsi="Times New Roman" w:cs="Times New Roman"/>
          <w:bCs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</w:r>
      <w:r>
        <w:rPr>
          <w:rFonts w:ascii="Times New Roman" w:hAnsi="Times New Roman" w:cs="Times New Roman"/>
          <w:b/>
          <w:bCs/>
          <w:sz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</w:p>
    <w:tbl>
      <w:tblPr>
        <w:tblW w:w="5004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344"/>
        <w:gridCol w:w="3020"/>
        <w:gridCol w:w="1283"/>
        <w:gridCol w:w="3840"/>
        <w:gridCol w:w="3926"/>
        <w:gridCol w:w="9"/>
      </w:tblGrid>
      <w:tr>
        <w:tblPrEx/>
        <w:trPr/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4.Наименование</w:t>
            </w:r>
            <w:r>
              <w:rPr>
                <w:rStyle w:val="1113"/>
                <w:rFonts w:ascii="Times New Roman" w:hAnsi="Times New Roman" w:cs="Times New Roman"/>
                <w:b/>
                <w:bCs/>
              </w:rPr>
              <w:footnoteReference w:id="5"/>
            </w:r>
            <w:r>
              <w:rPr>
                <w:rFonts w:ascii="Times New Roman" w:hAnsi="Times New Roman" w:cs="Times New Roman"/>
                <w:b/>
                <w:bCs/>
              </w:rPr>
              <w:t xml:space="preserve"> предложенных товаров, работ, услуг их количество (объем)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/>
        <w:tc>
          <w:tcPr>
            <w:tcW w:w="1084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товара, работы, услуги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395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Ед.изм</w:t>
            </w:r>
            <w:r>
              <w:rPr>
                <w:rFonts w:ascii="Times New Roman" w:hAnsi="Times New Roman" w:cs="Times New Roman"/>
                <w:b/>
              </w:rPr>
              <w:t xml:space="preserve">.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245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Количество (объем)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127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страны происхождения товара</w:t>
            </w:r>
            <w:r>
              <w:rPr>
                <w:rStyle w:val="1113"/>
                <w:rFonts w:ascii="Times New Roman" w:hAnsi="Times New Roman" w:cs="Times New Roman"/>
                <w:b/>
              </w:rPr>
              <w:footnoteReference w:id="6"/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/>
        <w:tc>
          <w:tcPr>
            <w:tcW w:w="1084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Указать наименование товара, работы, услуги, с указанием марки (при наличии), модели (при наличии)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W w:w="1395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Указать ед. изм. согласно ОКЕИ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45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Указать количество (объем) согласно единицам измерения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W w:w="127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Указать наименование страны происхождения товара в соответствии с Общероссийским классификатором стран мира, утвержденным Постановлением Госстандарта России от 14.12.2001 № 529-ст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</w:trPr>
        <w:tc>
          <w:tcPr>
            <w:tcW w:w="1084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Применяемая ставка НДС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gridSpan w:val="4"/>
            <w:tcW w:w="3913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Указать применяемую участником ставку НДС в процентах</w:t>
            </w:r>
            <w:r>
              <w:rPr>
                <w:rFonts w:ascii="Times New Roman" w:hAnsi="Times New Roman" w:cs="Times New Roman"/>
                <w:bCs/>
              </w:rPr>
            </w:r>
          </w:p>
        </w:tc>
      </w:tr>
      <w:tr>
        <w:tblPrEx/>
        <w:trPr/>
        <w:tc>
          <w:tcPr>
            <w:gridSpan w:val="6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5.Характеристики предлагаемых товаров, работ, услуг</w:t>
            </w:r>
            <w:r>
              <w:rPr>
                <w:rStyle w:val="1113"/>
                <w:rFonts w:ascii="Times New Roman" w:hAnsi="Times New Roman" w:cs="Times New Roman"/>
                <w:b/>
                <w:bCs/>
              </w:rPr>
              <w:footnoteReference w:id="7"/>
            </w:r>
            <w:r>
              <w:rPr>
                <w:rFonts w:ascii="Times New Roman" w:hAnsi="Times New Roman" w:cs="Times New Roman"/>
                <w:b/>
                <w:bCs/>
                <w:i/>
              </w:rPr>
            </w:r>
          </w:p>
        </w:tc>
      </w:tr>
      <w:tr>
        <w:tblPrEx/>
        <w:trPr>
          <w:trHeight w:val="3109"/>
        </w:trPr>
        <w:tc>
          <w:tcPr>
            <w:tcW w:w="1084" w:type="pct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Указать наименование товара, работы, услуги, с указанием марки (при наличии), модели (при наличии).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В случае если товар, работы, услуги являются эквивалентными указать слово «эквивалент», указать марку (при наличии), модель (при наличии), производителя, а в характеристиках товаров, работ, услуг в обязате</w:t>
            </w:r>
            <w:r>
              <w:rPr>
                <w:rFonts w:ascii="Times New Roman" w:hAnsi="Times New Roman" w:cs="Times New Roman"/>
              </w:rPr>
              <w:t xml:space="preserve">льном порядке указать конкретные характеристики и их значения, соответствующие требованиям технического задания документации (указывается, если в техническом задании документации предусмотрена возможность предоставления эквивалентных товаров, работ, услуг)</w:t>
            </w:r>
            <w:r>
              <w:rPr>
                <w:rFonts w:ascii="Times New Roman" w:hAnsi="Times New Roman" w:cs="Times New Roman"/>
                <w:i/>
              </w:rPr>
            </w:r>
          </w:p>
        </w:tc>
        <w:tc>
          <w:tcPr>
            <w:tcW w:w="97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Технические и функциональные характеристики товара, работы, услуги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4"/>
            <w:tcW w:w="2937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 xml:space="preserve">Вариант 1: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Участник должен перечислить характеристики товаров, работ, услуг в соответствии с требованиями технического задания документации </w:t>
            </w:r>
            <w:r>
              <w:rPr>
                <w:rFonts w:ascii="Times New Roman" w:hAnsi="Times New Roman" w:cs="Times New Roman"/>
                <w:bCs/>
              </w:rPr>
              <w:t xml:space="preserve">и  указать</w:t>
            </w:r>
            <w:r>
              <w:rPr>
                <w:rFonts w:ascii="Times New Roman" w:hAnsi="Times New Roman" w:cs="Times New Roman"/>
                <w:bCs/>
              </w:rPr>
              <w:t xml:space="preserve"> их конкретные значения:</w:t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</w:r>
            <w:r>
              <w:rPr>
                <w:rFonts w:ascii="Times New Roman" w:hAnsi="Times New Roman" w:cs="Times New Roman"/>
                <w:bCs/>
                <w:i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 xml:space="preserve">Вариант 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 xml:space="preserve">2: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вариант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применим при закупке работ или услуг</w:t>
            </w:r>
            <w:r>
              <w:rPr>
                <w:rFonts w:ascii="Times New Roman" w:hAnsi="Times New Roman" w:cs="Times New Roman"/>
                <w:b/>
                <w:bCs/>
                <w:i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Участник </w:t>
            </w:r>
            <w:r>
              <w:rPr>
                <w:rFonts w:ascii="Times New Roman" w:hAnsi="Times New Roman" w:cs="Times New Roman"/>
                <w:bCs/>
              </w:rPr>
              <w:t xml:space="preserve">должен  указать</w:t>
            </w:r>
            <w:r>
              <w:rPr>
                <w:rFonts w:ascii="Times New Roman" w:hAnsi="Times New Roman" w:cs="Times New Roman"/>
                <w:bCs/>
              </w:rPr>
              <w:t xml:space="preserve">: «</w:t>
            </w:r>
            <w:r>
              <w:rPr>
                <w:rFonts w:ascii="Times New Roman" w:hAnsi="Times New Roman" w:cs="Times New Roman"/>
                <w:bCs/>
              </w:rPr>
              <w:t xml:space="preserve">Участник  настоящим</w:t>
            </w:r>
            <w:r>
              <w:rPr>
                <w:rFonts w:ascii="Times New Roman" w:hAnsi="Times New Roman" w:cs="Times New Roman"/>
                <w:bCs/>
              </w:rPr>
              <w:t xml:space="preserve"> подтверждает, что предлагаемые работы, услуги соответствуют техническим и функциональным требованиям к работам, услугам, указанным в техническом задании документации.».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084" w:type="pct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</w:r>
            <w:r>
              <w:rPr>
                <w:rFonts w:ascii="Times New Roman" w:hAnsi="Times New Roman" w:cs="Times New Roman"/>
                <w:i/>
              </w:rPr>
            </w:r>
          </w:p>
        </w:tc>
        <w:tc>
          <w:tcPr>
            <w:tcW w:w="97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характеристики товаров, работ, услуг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4"/>
            <w:tcW w:w="2937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 xml:space="preserve">Вариант 1:</w:t>
            </w:r>
            <w:r>
              <w:rPr>
                <w:rFonts w:ascii="Times New Roman" w:hAnsi="Times New Roman" w:cs="Times New Roman"/>
                <w:b/>
                <w:bCs/>
                <w:i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Участник должен перечислить характеристики в соответствии с требованиями технического задания документации и указать их конкретные значения.</w:t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</w:r>
            <w:r>
              <w:rPr>
                <w:rFonts w:ascii="Times New Roman" w:hAnsi="Times New Roman" w:cs="Times New Roman"/>
                <w:bCs/>
                <w:i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 xml:space="preserve">Вариант 2: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вариант применим при закупке работ или услуг</w:t>
            </w:r>
            <w:r>
              <w:rPr>
                <w:rFonts w:ascii="Times New Roman" w:hAnsi="Times New Roman" w:cs="Times New Roman"/>
                <w:bCs/>
                <w:i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Участник должен указать: «Участник настоящим подтверждает, что предлагаемые работы, услуги соответствуют требованиям к работам, услугам, указанным в техническом задании документации»</w:t>
            </w:r>
            <w:r>
              <w:rPr>
                <w:rFonts w:ascii="Times New Roman" w:hAnsi="Times New Roman" w:cs="Times New Roman"/>
                <w:highlight w:val="yellow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jc w:val="right"/>
        <w:spacing w:after="0" w:line="240" w:lineRule="auto"/>
        <w:tabs>
          <w:tab w:val="left" w:pos="675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right"/>
        <w:spacing w:after="0" w:line="240" w:lineRule="auto"/>
        <w:tabs>
          <w:tab w:val="left" w:pos="675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right"/>
        <w:spacing w:after="0" w:line="240" w:lineRule="auto"/>
        <w:tabs>
          <w:tab w:val="left" w:pos="675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right"/>
        <w:spacing w:after="0" w:line="240" w:lineRule="auto"/>
        <w:tabs>
          <w:tab w:val="left" w:pos="6750" w:leader="none"/>
        </w:tabs>
        <w:rPr>
          <w:rFonts w:ascii="Times New Roman" w:hAnsi="Times New Roman" w:cs="Times New Roman"/>
        </w:rPr>
        <w:sectPr>
          <w:footnotePr/>
          <w:endnotePr/>
          <w:type w:val="nextPage"/>
          <w:pgSz w:w="16838" w:h="11906" w:orient="landscape"/>
          <w:pgMar w:top="1276" w:right="851" w:bottom="709" w:left="567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</w:r>
      <w:r>
        <w:rPr>
          <w:rFonts w:ascii="Times New Roman" w:hAnsi="Times New Roman" w:cs="Times New Roman"/>
          <w:bCs/>
          <w:sz w:val="24"/>
          <w:szCs w:val="24"/>
          <w:u w:val="single"/>
        </w:rPr>
      </w:r>
    </w:p>
    <w:p>
      <w:pPr>
        <w:pStyle w:val="1142"/>
        <w:ind w:firstLine="709"/>
        <w:jc w:val="right"/>
        <w:spacing w:before="0" w:after="0" w:line="240" w:lineRule="auto"/>
        <w:shd w:val="clear" w:color="auto" w:fil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sectPr>
      <w:headerReference w:type="default" r:id="rId13"/>
      <w:headerReference w:type="even" r:id="rId14"/>
      <w:headerReference w:type="first" r:id="rId15"/>
      <w:footnotePr/>
      <w:endnotePr/>
      <w:type w:val="nextPage"/>
      <w:pgSz w:w="11906" w:h="16838" w:orient="portrait"/>
      <w:pgMar w:top="851" w:right="709" w:bottom="567" w:left="1276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3020204020204"/>
  </w:font>
  <w:font w:name="Consolas">
    <w:panose1 w:val="020B0609020204030204"/>
  </w:font>
  <w:font w:name="Calibri Light">
    <w:panose1 w:val="020F0502020204030204"/>
  </w:font>
  <w:font w:name="Symbol">
    <w:panose1 w:val="05010000000000000000"/>
  </w:font>
  <w:font w:name="Lucida Sans Unicode">
    <w:panose1 w:val="020B0604030504040204"/>
  </w:font>
  <w:font w:name="Verdana">
    <w:panose1 w:val="020B0604030504040204"/>
  </w:font>
  <w:font w:name="EuropeExt08">
    <w:panose1 w:val="020B0809030403020204"/>
  </w:font>
  <w:font w:name="Calibri">
    <w:panose1 w:val="020F0502020204030204"/>
  </w:font>
  <w:font w:name="Wingdings">
    <w:panose1 w:val="05010000000000000000"/>
  </w:font>
  <w:font w:name="andale sans ui">
    <w:panose1 w:val="020B0809030403020204"/>
  </w:font>
  <w:font w:name="GaramondC">
    <w:panose1 w:val="020B0809030403020204"/>
  </w:font>
  <w:font w:name="Courier New">
    <w:panose1 w:val="02070309020205020404"/>
  </w:font>
  <w:font w:name="OpenSymbol">
    <w:panose1 w:val="05010000000000000000"/>
  </w:font>
  <w:font w:name="MS Mincho">
    <w:panose1 w:val="02070609020205090404"/>
  </w:font>
  <w:font w:name="Tahoma">
    <w:panose1 w:val="020B0604030504040204"/>
  </w:font>
  <w:font w:name="Cambria">
    <w:panose1 w:val="02040803050406030204"/>
  </w:font>
  <w:font w:name="Arial Unicode MS">
    <w:panose1 w:val="020B0604020202020204"/>
  </w:font>
  <w:font w:name="Arial">
    <w:panose1 w:val="020B0604020202020204"/>
  </w:font>
  <w:font w:name="Times New Roman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06"/>
      <w:jc w:val="right"/>
      <w:rPr>
        <w:rFonts w:ascii="Times New Roman" w:hAnsi="Times New Roman"/>
      </w:rPr>
    </w:pPr>
    <w:r>
      <w:rPr>
        <w:rFonts w:ascii="Times New Roman" w:hAnsi="Times New Roman"/>
      </w:rPr>
    </w:r>
    <w:r>
      <w:rPr>
        <w:rFonts w:ascii="Times New Roman" w:hAnsi="Times New Roman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06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0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1111"/>
        <w:jc w:val="both"/>
      </w:pPr>
      <w:r>
        <w:rPr>
          <w:rStyle w:val="1113"/>
        </w:rPr>
        <w:footnoteRef/>
      </w:r>
      <w:r>
        <w:t xml:space="preserve"> В соответствии с Положением о правилах осуществления перевода денежных средств (утв. Банком России </w:t>
      </w:r>
      <w:r>
        <w:br/>
        <w:t xml:space="preserve">19 июня 2012 г. № 383-П), максимальное количество с</w:t>
      </w:r>
      <w:r>
        <w:t xml:space="preserve">имволов по реквизиту «назначение платежа», в реквизитах платежного поручения (в электронном виде), должно составлять не более 210 символов. В назначении платежа указывается ОКПО и адрес участника. Для участников – физических лиц строка ОКПО не заполняется.</w:t>
      </w:r>
      <w:r/>
    </w:p>
  </w:footnote>
  <w:footnote w:id="3">
    <w:p>
      <w:pPr>
        <w:pStyle w:val="1111"/>
      </w:pPr>
      <w:r>
        <w:rPr>
          <w:rStyle w:val="1113"/>
        </w:rPr>
        <w:footnoteRef/>
      </w:r>
      <w:r>
        <w:t xml:space="preserve"> Номер конкурса указан в извещении и соответствует реестровому номеру процедуры в единой информационной системе. </w:t>
      </w:r>
      <w:r/>
    </w:p>
  </w:footnote>
  <w:footnote w:id="4">
    <w:p>
      <w:pPr>
        <w:pStyle w:val="1111"/>
      </w:pPr>
      <w:r>
        <w:rPr>
          <w:rStyle w:val="1113"/>
        </w:rPr>
        <w:footnoteRef/>
      </w:r>
      <w:r>
        <w:t xml:space="preserve"> Номер открытого конкурса указан в извещении и соответствует реестровому номеру процедуры в единой информационной системе. </w:t>
      </w:r>
      <w:r/>
    </w:p>
  </w:footnote>
  <w:footnote w:id="5">
    <w:p>
      <w:pPr>
        <w:pStyle w:val="1111"/>
        <w:jc w:val="both"/>
      </w:pPr>
      <w:r>
        <w:rPr>
          <w:rStyle w:val="1113"/>
        </w:rPr>
        <w:footnoteRef/>
      </w:r>
      <w:r>
        <w:t xml:space="preserve"> Если объем информации большой, то сведения, содержащиеся в д</w:t>
      </w:r>
      <w:r>
        <w:t xml:space="preserve">анном пункте таблицы, участник может указать в приложении, при условии указания в данном разделе технического предложения следующей формулировки: «наименование, количество (объем) товаров, работ, услуг указаны в приложении № __ к техническому предложению».</w:t>
      </w:r>
      <w:r/>
    </w:p>
  </w:footnote>
  <w:footnote w:id="6">
    <w:p>
      <w:pPr>
        <w:pStyle w:val="1111"/>
      </w:pPr>
      <w:r>
        <w:rPr>
          <w:rStyle w:val="1113"/>
        </w:rPr>
        <w:footnoteRef/>
      </w:r>
      <w:r>
        <w:t xml:space="preserve"> </w:t>
      </w:r>
      <w:r>
        <w:rPr>
          <w:bCs/>
        </w:rPr>
        <w:t xml:space="preserve">При осуществлении закупки товара, в том числе поставляемого заказчику при выполнении закупаемых работ, оказании закупаемых услуг, указывается информация о наименовании страны происхождения каждого товара.</w:t>
      </w:r>
      <w:r/>
    </w:p>
  </w:footnote>
  <w:footnote w:id="7">
    <w:p>
      <w:pPr>
        <w:pStyle w:val="1111"/>
        <w:jc w:val="both"/>
        <w:spacing w:line="200" w:lineRule="exact"/>
      </w:pPr>
      <w:r>
        <w:rPr>
          <w:rStyle w:val="1113"/>
        </w:rPr>
        <w:footnoteRef/>
      </w:r>
      <w:r>
        <w:t xml:space="preserve"> Если объем информации большой, то сведения, со</w:t>
      </w:r>
      <w:r>
        <w:t xml:space="preserve">держащиеся в данном пункте таблицы, участник может указать в приложении, при условии указания в данном разделе технического предложения следующей формулировки: «характеристики к товарам, работам услугам указаны в приложении № __ к техническому предложению»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0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0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04"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984434247"/>
      <w:docPartObj>
        <w:docPartGallery w:val="Page Numbers (Top of Page)"/>
        <w:docPartUnique w:val="true"/>
      </w:docPartObj>
      <w:rPr/>
    </w:sdtPr>
    <w:sdtContent>
      <w:p>
        <w:pPr>
          <w:pStyle w:val="1104"/>
          <w:jc w:val="center"/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 xml:space="preserve">PAGE   \* MERGEFORMAT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</w:rPr>
          <w:t xml:space="preserve">107</w:t>
        </w:r>
        <w:r>
          <w:rPr>
            <w:rFonts w:ascii="Times New Roman" w:hAnsi="Times New Roman"/>
          </w:rPr>
          <w:fldChar w:fldCharType="end"/>
        </w:r>
        <w:r/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>
      <w:fldChar w:fldCharType="begin"/>
    </w:r>
    <w:r>
      <w:instrText xml:space="preserve">PAGE  </w:instrText>
    </w:r>
    <w:r>
      <w:fldChar w:fldCharType="separate"/>
    </w:r>
    <w:r>
      <w:t xml:space="preserve">63</w:t>
    </w:r>
    <w:r>
      <w:fldChar w:fldCharType="end"/>
    </w:r>
    <w:r/>
  </w:p>
  <w:p>
    <w:r/>
    <w:r/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styleLink w:val="1134"/>
    <w:lvl w:ilvl="0">
      <w:start w:val="1"/>
      <w:numFmt w:val="bullet"/>
      <w:pStyle w:val="1134"/>
      <w:isLgl w:val="false"/>
      <w:suff w:val="tab"/>
      <w:lvlText w:val="-"/>
      <w:lvlJc w:val="left"/>
      <w:pPr/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/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/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/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/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/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/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/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/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bullet"/>
      <w:pStyle w:val="1396"/>
      <w:isLgl w:val="false"/>
      <w:suff w:val="tab"/>
      <w:lvlText w:val=""/>
      <w:lvlJc w:val="left"/>
      <w:pPr>
        <w:ind w:left="1209" w:hanging="360"/>
        <w:tabs>
          <w:tab w:val="num" w:pos="1209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7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2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018" w:hanging="450"/>
      </w:pPr>
      <w:rPr>
        <w:rFonts w:hint="default"/>
        <w:color w:val="auto"/>
      </w:rPr>
    </w:lvl>
    <w:lvl w:ilvl="1">
      <w:start w:val="1"/>
      <w:numFmt w:val="decimal"/>
      <w:isLgl w:val="false"/>
      <w:suff w:val="tab"/>
      <w:lvlText w:val="%1.%2."/>
      <w:lvlJc w:val="left"/>
      <w:pPr>
        <w:ind w:left="956" w:hanging="720"/>
      </w:pPr>
      <w:rPr>
        <w:rFonts w:hint="default"/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988" w:hanging="720"/>
      </w:pPr>
      <w:rPr>
        <w:rFonts w:hint="default"/>
        <w:color w:val="auto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648" w:hanging="1080"/>
      </w:pPr>
      <w:rPr>
        <w:rFonts w:hint="default"/>
        <w:i w:val="0"/>
        <w:color w:val="auto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024" w:hanging="1080"/>
      </w:pPr>
      <w:rPr>
        <w:rFonts w:hint="default"/>
        <w:color w:val="auto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620" w:hanging="1440"/>
      </w:pPr>
      <w:rPr>
        <w:rFonts w:hint="default"/>
        <w:color w:val="auto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16" w:hanging="1800"/>
      </w:pPr>
      <w:rPr>
        <w:rFonts w:hint="default"/>
        <w:color w:val="auto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452" w:hanging="1800"/>
      </w:pPr>
      <w:rPr>
        <w:rFonts w:hint="default"/>
        <w:color w:val="auto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048" w:hanging="2160"/>
      </w:pPr>
      <w:rPr>
        <w:rFonts w:hint="default"/>
        <w:color w:val="auto"/>
      </w:rPr>
    </w:lvl>
  </w:abstractNum>
  <w:abstractNum w:abstractNumId="4">
    <w:multiLevelType w:val="hybridMultilevel"/>
    <w:styleLink w:val="1132"/>
    <w:lvl w:ilvl="0">
      <w:start w:val="1"/>
      <w:numFmt w:val="bullet"/>
      <w:pStyle w:val="1132"/>
      <w:isLgl w:val="false"/>
      <w:suff w:val="tab"/>
      <w:lvlText w:val="-"/>
      <w:lvlJc w:val="left"/>
      <w:pPr/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/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/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/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/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/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/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/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/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decimal"/>
      <w:pStyle w:val="1399"/>
      <w:isLgl w:val="false"/>
      <w:suff w:val="tab"/>
      <w:lvlText w:val="%1."/>
      <w:lvlJc w:val="left"/>
      <w:pPr>
        <w:ind w:left="643" w:hanging="360"/>
        <w:tabs>
          <w:tab w:val="num" w:pos="643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styleLink w:val="1133"/>
    <w:lvl w:ilvl="0">
      <w:start w:val="1"/>
      <w:numFmt w:val="bullet"/>
      <w:pStyle w:val="1133"/>
      <w:isLgl w:val="false"/>
      <w:suff w:val="tab"/>
      <w:lvlText w:val="-"/>
      <w:lvlJc w:val="left"/>
      <w:pPr/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/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/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/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/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/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/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/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/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bullet"/>
      <w:pStyle w:val="1129"/>
      <w:isLgl w:val="false"/>
      <w:suff w:val="tab"/>
      <w:lvlText w:val=""/>
      <w:lvlJc w:val="left"/>
      <w:pPr>
        <w:ind w:left="643" w:hanging="360"/>
        <w:tabs>
          <w:tab w:val="num" w:pos="643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885" w:hanging="885"/>
      </w:pPr>
      <w:rPr>
        <w:rFonts w:hint="default"/>
        <w:color w:val="000000"/>
      </w:rPr>
    </w:lvl>
    <w:lvl w:ilvl="1">
      <w:start w:val="1"/>
      <w:numFmt w:val="decimal"/>
      <w:isLgl w:val="false"/>
      <w:suff w:val="tab"/>
      <w:lvlText w:val="%1.%2."/>
      <w:lvlJc w:val="left"/>
      <w:pPr>
        <w:ind w:left="1121" w:hanging="885"/>
      </w:pPr>
      <w:rPr>
        <w:rFonts w:hint="default"/>
        <w:color w:val="000000"/>
      </w:rPr>
    </w:lvl>
    <w:lvl w:ilvl="2">
      <w:start w:val="9"/>
      <w:numFmt w:val="decimal"/>
      <w:isLgl w:val="false"/>
      <w:suff w:val="tab"/>
      <w:lvlText w:val="%1.%2.%3."/>
      <w:lvlJc w:val="left"/>
      <w:pPr>
        <w:ind w:left="1357" w:hanging="885"/>
      </w:pPr>
      <w:rPr>
        <w:rFonts w:hint="default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88" w:hanging="1080"/>
      </w:pPr>
      <w:rPr>
        <w:rFonts w:hint="default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024" w:hanging="1080"/>
      </w:pPr>
      <w:rPr>
        <w:rFonts w:hint="default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620" w:hanging="1440"/>
      </w:pPr>
      <w:rPr>
        <w:rFonts w:hint="default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16" w:hanging="1800"/>
      </w:pPr>
      <w:rPr>
        <w:rFonts w:hint="default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452" w:hanging="1800"/>
      </w:pPr>
      <w:rPr>
        <w:rFonts w:hint="default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048" w:hanging="2160"/>
      </w:pPr>
      <w:rPr>
        <w:rFonts w:hint="default"/>
        <w:color w:val="000000"/>
      </w:rPr>
    </w:lvl>
  </w:abstractNum>
  <w:abstractNum w:abstractNumId="10">
    <w:multiLevelType w:val="hybridMultilevel"/>
    <w:lvl w:ilvl="0">
      <w:start w:val="1"/>
      <w:numFmt w:val="bullet"/>
      <w:pStyle w:val="1297"/>
      <w:isLgl w:val="false"/>
      <w:suff w:val="tab"/>
      <w:lvlText w:val=""/>
      <w:lvlJc w:val="left"/>
      <w:pPr>
        <w:ind w:left="108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decimal"/>
      <w:pStyle w:val="1292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  <w:i w:val="0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14"/>
      <w:numFmt w:val="lowerLetter"/>
      <w:pStyle w:val="1291"/>
      <w:isLgl w:val="false"/>
      <w:suff w:val="tab"/>
      <w:lvlText w:val="%1."/>
      <w:lvlJc w:val="left"/>
      <w:pPr>
        <w:ind w:left="1069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multiLevelType w:val="hybridMultilevel"/>
    <w:lvl w:ilvl="0">
      <w:start w:val="1"/>
      <w:numFmt w:val="decimal"/>
      <w:pStyle w:val="1400"/>
      <w:isLgl w:val="false"/>
      <w:suff w:val="tab"/>
      <w:lvlText w:val="%1."/>
      <w:lvlJc w:val="left"/>
      <w:pPr>
        <w:ind w:left="926" w:hanging="360"/>
        <w:tabs>
          <w:tab w:val="num" w:pos="926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pStyle w:val="1395"/>
      <w:isLgl w:val="false"/>
      <w:suff w:val="tab"/>
      <w:lvlText w:val=""/>
      <w:lvlJc w:val="left"/>
      <w:pPr>
        <w:ind w:left="926" w:hanging="360"/>
        <w:tabs>
          <w:tab w:val="num" w:pos="926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decimal"/>
      <w:pStyle w:val="1398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pStyle w:val="1298"/>
      <w:isLgl w:val="false"/>
      <w:suff w:val="tab"/>
      <w:lvlText w:val=""/>
      <w:lvlJc w:val="left"/>
      <w:pPr>
        <w:ind w:left="1121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4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6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8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0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2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4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6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81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-1"/>
        <w:position w:val="0"/>
        <w:sz w:val="27"/>
        <w:szCs w:val="27"/>
        <w:u w:val="none"/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-1"/>
        <w:position w:val="0"/>
        <w:sz w:val="27"/>
        <w:szCs w:val="27"/>
        <w:u w:val="none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/>
      </w:rPr>
    </w:lvl>
    <w:lvl w:ilvl="3">
      <w:start w:val="1"/>
      <w:numFmt w:val="decimal"/>
      <w:isLgl w:val="false"/>
      <w:suff w:val="tab"/>
      <w:lvlText w:val="%1.%2.%3.%4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/>
      </w:rPr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8">
    <w:multiLevelType w:val="hybridMultilevel"/>
    <w:lvl w:ilvl="0">
      <w:start w:val="1"/>
      <w:numFmt w:val="bullet"/>
      <w:pStyle w:val="1466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0">
    <w:multiLevelType w:val="hybridMultilevel"/>
    <w:styleLink w:val="1135"/>
    <w:lvl w:ilvl="0">
      <w:start w:val="1"/>
      <w:numFmt w:val="bullet"/>
      <w:pStyle w:val="1135"/>
      <w:isLgl w:val="false"/>
      <w:suff w:val="tab"/>
      <w:lvlText w:val="-"/>
      <w:lvlJc w:val="left"/>
      <w:pPr/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/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/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/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/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/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/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/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/>
      <w:rPr>
        <w:rFonts w:ascii="Wingdings" w:hAnsi="Wingdings"/>
      </w:rPr>
    </w:lvl>
  </w:abstractNum>
  <w:abstractNum w:abstractNumId="21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74" w:hanging="720"/>
      </w:pPr>
      <w:rPr>
        <w:rFonts w:hint="default"/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71" w:hanging="720"/>
      </w:pPr>
      <w:rPr>
        <w:rFonts w:hint="default"/>
        <w:i w:val="0"/>
        <w:iCs w:val="0"/>
        <w:color w:val="auto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2">
    <w:multiLevelType w:val="hybridMultilevel"/>
    <w:lvl w:ilvl="0">
      <w:start w:val="1"/>
      <w:numFmt w:val="decimal"/>
      <w:pStyle w:val="1293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4">
    <w:multiLevelType w:val="hybridMultilevel"/>
    <w:styleLink w:val="1462"/>
    <w:lvl w:ilvl="0">
      <w:start w:val="1"/>
      <w:numFmt w:val="decimal"/>
      <w:pStyle w:val="1457"/>
      <w:isLgl w:val="false"/>
      <w:suff w:val="tab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pStyle w:val="1458"/>
      <w:isLgl w:val="false"/>
      <w:suff w:val="tab"/>
      <w:lvlText w:val="%1.%2."/>
      <w:lvlJc w:val="left"/>
      <w:pPr>
        <w:ind w:left="1134" w:hanging="1134"/>
        <w:tabs>
          <w:tab w:val="num" w:pos="1134" w:leader="none"/>
        </w:tabs>
      </w:pPr>
      <w:rPr>
        <w:rFonts w:hint="default"/>
      </w:rPr>
    </w:lvl>
    <w:lvl w:ilvl="2">
      <w:start w:val="1"/>
      <w:numFmt w:val="decimal"/>
      <w:pStyle w:val="1459"/>
      <w:isLgl w:val="false"/>
      <w:suff w:val="tab"/>
      <w:lvlText w:val="%1.%2.%3."/>
      <w:lvlJc w:val="left"/>
      <w:pPr>
        <w:ind w:left="1134" w:hanging="1134"/>
        <w:tabs>
          <w:tab w:val="num" w:pos="1134" w:leader="none"/>
        </w:tabs>
      </w:pPr>
      <w:rPr>
        <w:rFonts w:hint="default"/>
      </w:rPr>
    </w:lvl>
    <w:lvl w:ilvl="3">
      <w:start w:val="1"/>
      <w:numFmt w:val="decimal"/>
      <w:pStyle w:val="1460"/>
      <w:isLgl w:val="false"/>
      <w:suff w:val="tab"/>
      <w:lvlText w:val="%4)"/>
      <w:lvlJc w:val="left"/>
      <w:pPr>
        <w:ind w:left="1701" w:hanging="567"/>
        <w:tabs>
          <w:tab w:val="num" w:pos="1701" w:leader="none"/>
        </w:tabs>
      </w:pPr>
      <w:rPr>
        <w:rFonts w:hint="default"/>
      </w:rPr>
    </w:lvl>
    <w:lvl w:ilvl="4">
      <w:start w:val="1"/>
      <w:numFmt w:val="russianLower"/>
      <w:pStyle w:val="1464"/>
      <w:isLgl w:val="false"/>
      <w:suff w:val="tab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876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571" w:hanging="720"/>
      </w:pPr>
      <w:rPr>
        <w:rFonts w:hint="default"/>
        <w:i w:val="0"/>
        <w:iCs w:val="0"/>
        <w:sz w:val="28"/>
        <w:szCs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hint="default" w:ascii="Times New Roman" w:hAnsi="Times New Roman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  <w:i w:val="0"/>
        <w:iCs/>
        <w:sz w:val="28"/>
        <w:szCs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multiLevelType w:val="hybridMultilevel"/>
    <w:lvl w:ilvl="0">
      <w:start w:val="1"/>
      <w:numFmt w:val="decimal"/>
      <w:pStyle w:val="1299"/>
      <w:isLgl w:val="false"/>
      <w:suff w:val="tab"/>
      <w:lvlText w:val="%1."/>
      <w:lvlJc w:val="left"/>
      <w:pPr>
        <w:ind w:left="1065" w:hanging="705"/>
        <w:tabs>
          <w:tab w:val="num" w:pos="1065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8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suff w:val="tab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>
    <w:multiLevelType w:val="hybridMultilevel"/>
    <w:lvl w:ilvl="0">
      <w:start w:val="1"/>
      <w:numFmt w:val="decimal"/>
      <w:pStyle w:val="1401"/>
      <w:isLgl w:val="false"/>
      <w:suff w:val="tab"/>
      <w:lvlText w:val="%1."/>
      <w:lvlJc w:val="left"/>
      <w:pPr>
        <w:ind w:left="1209" w:hanging="360"/>
        <w:tabs>
          <w:tab w:val="num" w:pos="1209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0">
    <w:multiLevelType w:val="hybridMultilevel"/>
    <w:lvl w:ilvl="0">
      <w:start w:val="5"/>
      <w:numFmt w:val="decimal"/>
      <w:pStyle w:val="1306"/>
      <w:isLgl w:val="false"/>
      <w:suff w:val="tab"/>
      <w:lvlText w:val="%1."/>
      <w:lvlJc w:val="left"/>
      <w:pPr>
        <w:ind w:left="644" w:hanging="360"/>
        <w:tabs>
          <w:tab w:val="num" w:pos="644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1">
    <w:multiLevelType w:val="hybridMultilevel"/>
    <w:lvl w:ilvl="0">
      <w:start w:val="1"/>
      <w:numFmt w:val="bullet"/>
      <w:pStyle w:val="1397"/>
      <w:isLgl w:val="false"/>
      <w:suff w:val="tab"/>
      <w:lvlText w:val=""/>
      <w:lvlJc w:val="left"/>
      <w:pPr>
        <w:ind w:left="1492" w:hanging="360"/>
        <w:tabs>
          <w:tab w:val="num" w:pos="1492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2">
    <w:multiLevelType w:val="hybridMultilevel"/>
    <w:lvl w:ilvl="0">
      <w:start w:val="1"/>
      <w:numFmt w:val="bullet"/>
      <w:pStyle w:val="1141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3">
    <w:multiLevelType w:val="hybridMultilevel"/>
    <w:lvl w:ilvl="0">
      <w:start w:val="1"/>
      <w:numFmt w:val="decimal"/>
      <w:pStyle w:val="1402"/>
      <w:isLgl w:val="false"/>
      <w:suff w:val="tab"/>
      <w:lvlText w:val="%1."/>
      <w:lvlJc w:val="left"/>
      <w:pPr>
        <w:ind w:left="1492" w:hanging="360"/>
        <w:tabs>
          <w:tab w:val="num" w:pos="1492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17"/>
  </w:num>
  <w:num w:numId="2">
    <w:abstractNumId w:val="7"/>
  </w:num>
  <w:num w:numId="3">
    <w:abstractNumId w:val="4"/>
  </w:num>
  <w:num w:numId="4">
    <w:abstractNumId w:val="6"/>
  </w:num>
  <w:num w:numId="5">
    <w:abstractNumId w:val="0"/>
  </w:num>
  <w:num w:numId="6">
    <w:abstractNumId w:val="20"/>
  </w:num>
  <w:num w:numId="7">
    <w:abstractNumId w:val="23"/>
  </w:num>
  <w:num w:numId="8">
    <w:abstractNumId w:val="32"/>
  </w:num>
  <w:num w:numId="9">
    <w:abstractNumId w:val="21"/>
  </w:num>
  <w:num w:numId="10">
    <w:abstractNumId w:val="3"/>
  </w:num>
  <w:num w:numId="11">
    <w:abstractNumId w:val="9"/>
  </w:num>
  <w:num w:numId="12">
    <w:abstractNumId w:val="12"/>
  </w:num>
  <w:num w:numId="13">
    <w:abstractNumId w:val="11"/>
  </w:num>
  <w:num w:numId="14">
    <w:abstractNumId w:val="22"/>
  </w:num>
  <w:num w:numId="15">
    <w:abstractNumId w:val="10"/>
  </w:num>
  <w:num w:numId="16">
    <w:abstractNumId w:val="16"/>
  </w:num>
  <w:num w:numId="17">
    <w:abstractNumId w:val="27"/>
  </w:num>
  <w:num w:numId="18">
    <w:abstractNumId w:val="30"/>
  </w:num>
  <w:num w:numId="19">
    <w:abstractNumId w:val="14"/>
  </w:num>
  <w:num w:numId="20">
    <w:abstractNumId w:val="1"/>
  </w:num>
  <w:num w:numId="21">
    <w:abstractNumId w:val="31"/>
  </w:num>
  <w:num w:numId="22">
    <w:abstractNumId w:val="15"/>
  </w:num>
  <w:num w:numId="23">
    <w:abstractNumId w:val="5"/>
  </w:num>
  <w:num w:numId="24">
    <w:abstractNumId w:val="13"/>
  </w:num>
  <w:num w:numId="25">
    <w:abstractNumId w:val="29"/>
  </w:num>
  <w:num w:numId="26">
    <w:abstractNumId w:val="33"/>
  </w:num>
  <w:num w:numId="27">
    <w:abstractNumId w:val="8"/>
  </w:num>
  <w:num w:numId="28">
    <w:abstractNumId w:val="24"/>
    <w:lvlOverride w:ilvl="0">
      <w:lvl w:ilvl="0">
        <w:start w:val="1"/>
        <w:numFmt w:val="decimal"/>
        <w:pStyle w:val="1457"/>
        <w:isLgl w:val="false"/>
        <w:suff w:val="tab"/>
        <w:lvlText w:val="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1458"/>
        <w:isLgl w:val="false"/>
        <w:suff w:val="tab"/>
        <w:lvlText w:val="%1.%2."/>
        <w:lvlJc w:val="left"/>
        <w:pPr>
          <w:ind w:left="1134" w:hanging="1134"/>
          <w:tabs>
            <w:tab w:val="num" w:pos="1134" w:leader="none"/>
          </w:tabs>
        </w:pPr>
        <w:rPr>
          <w:rFonts w:hint="default"/>
        </w:rPr>
      </w:lvl>
    </w:lvlOverride>
    <w:lvlOverride w:ilvl="2">
      <w:lvl w:ilvl="2">
        <w:start w:val="1"/>
        <w:numFmt w:val="decimal"/>
        <w:pStyle w:val="1459"/>
        <w:isLgl w:val="false"/>
        <w:suff w:val="tab"/>
        <w:lvlText w:val="%1.%2.%3."/>
        <w:lvlJc w:val="left"/>
        <w:pPr>
          <w:ind w:left="1134" w:hanging="1134"/>
          <w:tabs>
            <w:tab w:val="num" w:pos="1134" w:leader="none"/>
          </w:tabs>
        </w:pPr>
        <w:rPr>
          <w:rFonts w:hint="default"/>
        </w:rPr>
      </w:lvl>
    </w:lvlOverride>
    <w:lvlOverride w:ilvl="3">
      <w:lvl w:ilvl="3">
        <w:start w:val="1"/>
        <w:numFmt w:val="decimal"/>
        <w:pStyle w:val="1460"/>
        <w:isLgl w:val="false"/>
        <w:suff w:val="tab"/>
        <w:lvlText w:val="%4)"/>
        <w:lvlJc w:val="left"/>
        <w:pPr>
          <w:ind w:left="1560" w:hanging="567"/>
          <w:tabs>
            <w:tab w:val="num" w:pos="1560" w:leader="none"/>
          </w:tabs>
        </w:pPr>
        <w:rPr>
          <w:rFonts w:hint="default"/>
        </w:rPr>
      </w:lvl>
    </w:lvlOverride>
    <w:lvlOverride w:ilvl="4">
      <w:lvl w:ilvl="4">
        <w:start w:val="1"/>
        <w:numFmt w:val="russianLower"/>
        <w:pStyle w:val="1464"/>
        <w:isLgl w:val="false"/>
        <w:suff w:val="tab"/>
        <w:lvlText w:val="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isLgl w:val="false"/>
        <w:suff w:val="tab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isLgl w:val="false"/>
        <w:suff w:val="tab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isLgl w:val="false"/>
        <w:suff w:val="tab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isLgl w:val="false"/>
        <w:suff w:val="tab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9">
    <w:abstractNumId w:val="18"/>
  </w:num>
  <w:num w:numId="30">
    <w:abstractNumId w:val="24"/>
  </w:num>
  <w:num w:numId="31">
    <w:abstractNumId w:val="2"/>
  </w:num>
  <w:num w:numId="32">
    <w:abstractNumId w:val="25"/>
  </w:num>
  <w:num w:numId="33">
    <w:abstractNumId w:val="26"/>
  </w:num>
  <w:num w:numId="34">
    <w:abstractNumId w:val="28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903" w:default="1">
    <w:name w:val="Normal"/>
    <w:qFormat/>
  </w:style>
  <w:style w:type="paragraph" w:styleId="904">
    <w:name w:val="Heading 1"/>
    <w:basedOn w:val="903"/>
    <w:next w:val="903"/>
    <w:link w:val="1137"/>
    <w:qFormat/>
    <w:pPr>
      <w:keepLines/>
      <w:keepNext/>
      <w:spacing w:before="240" w:after="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905">
    <w:name w:val="Heading 2"/>
    <w:basedOn w:val="903"/>
    <w:next w:val="903"/>
    <w:link w:val="1059"/>
    <w:qFormat/>
    <w:pPr>
      <w:keepNext/>
      <w:spacing w:before="240" w:after="60" w:line="240" w:lineRule="auto"/>
      <w:outlineLvl w:val="1"/>
    </w:pPr>
    <w:rPr>
      <w:rFonts w:ascii="Times New Roman" w:hAnsi="Times New Roman" w:eastAsia="Times New Roman" w:cs="Arial"/>
      <w:b/>
      <w:bCs/>
      <w:i/>
      <w:iCs/>
      <w:sz w:val="28"/>
      <w:szCs w:val="28"/>
      <w:lang w:eastAsia="ru-RU"/>
    </w:rPr>
  </w:style>
  <w:style w:type="paragraph" w:styleId="906">
    <w:name w:val="Heading 3"/>
    <w:basedOn w:val="903"/>
    <w:next w:val="903"/>
    <w:link w:val="1060"/>
    <w:unhideWhenUsed/>
    <w:qFormat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907">
    <w:name w:val="Heading 4"/>
    <w:basedOn w:val="903"/>
    <w:next w:val="903"/>
    <w:link w:val="1140"/>
    <w:unhideWhenUsed/>
    <w:qFormat/>
    <w:pPr>
      <w:keepLines/>
      <w:keepNext/>
      <w:spacing w:before="40" w:after="0"/>
      <w:outlineLvl w:val="3"/>
    </w:pPr>
    <w:rPr>
      <w:rFonts w:asciiTheme="majorHAnsi" w:hAnsiTheme="majorHAnsi" w:eastAsiaTheme="majorEastAsia" w:cstheme="majorBidi"/>
      <w:i/>
      <w:iCs/>
      <w:color w:val="365f91" w:themeColor="accent1" w:themeShade="BF"/>
    </w:rPr>
  </w:style>
  <w:style w:type="paragraph" w:styleId="908">
    <w:name w:val="Heading 5"/>
    <w:basedOn w:val="903"/>
    <w:next w:val="903"/>
    <w:link w:val="1061"/>
    <w:unhideWhenUsed/>
    <w:qFormat/>
    <w:pPr>
      <w:keepLines/>
      <w:keepNext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909">
    <w:name w:val="Heading 6"/>
    <w:basedOn w:val="903"/>
    <w:next w:val="1109"/>
    <w:link w:val="1160"/>
    <w:qFormat/>
    <w:pPr>
      <w:ind w:left="4669" w:hanging="180"/>
      <w:keepNext/>
      <w:spacing w:after="0" w:line="240" w:lineRule="auto"/>
      <w:outlineLvl w:val="5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910">
    <w:name w:val="Heading 7"/>
    <w:basedOn w:val="903"/>
    <w:next w:val="903"/>
    <w:link w:val="1161"/>
    <w:qFormat/>
    <w:pPr>
      <w:jc w:val="both"/>
      <w:keepLines/>
      <w:keepNext/>
      <w:spacing w:before="200" w:after="0" w:line="240" w:lineRule="auto"/>
      <w:outlineLvl w:val="6"/>
    </w:pPr>
    <w:rPr>
      <w:rFonts w:ascii="Cambria" w:hAnsi="Cambria" w:eastAsia="Times New Roman" w:cs="Times New Roman"/>
      <w:i/>
      <w:iCs/>
      <w:color w:val="404040"/>
      <w:sz w:val="24"/>
      <w:szCs w:val="24"/>
    </w:rPr>
  </w:style>
  <w:style w:type="paragraph" w:styleId="911">
    <w:name w:val="Heading 8"/>
    <w:basedOn w:val="903"/>
    <w:next w:val="903"/>
    <w:link w:val="1155"/>
    <w:unhideWhenUsed/>
    <w:qFormat/>
    <w:pPr>
      <w:keepLines/>
      <w:keepNext/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912">
    <w:name w:val="Heading 9"/>
    <w:basedOn w:val="903"/>
    <w:next w:val="1109"/>
    <w:link w:val="1162"/>
    <w:qFormat/>
    <w:pPr>
      <w:ind w:left="6829" w:hanging="180"/>
      <w:keepNext/>
      <w:spacing w:before="80" w:after="60" w:line="240" w:lineRule="auto"/>
      <w:outlineLvl w:val="8"/>
    </w:pPr>
    <w:rPr>
      <w:rFonts w:ascii="Times New Roman" w:hAnsi="Times New Roman" w:eastAsia="Times New Roman" w:cs="Times New Roman"/>
      <w:b/>
      <w:i/>
      <w:sz w:val="16"/>
      <w:szCs w:val="20"/>
      <w:lang w:eastAsia="ar-SA"/>
    </w:rPr>
  </w:style>
  <w:style w:type="character" w:styleId="913" w:default="1">
    <w:name w:val="Default Paragraph Font"/>
    <w:uiPriority w:val="1"/>
    <w:semiHidden/>
    <w:unhideWhenUsed/>
  </w:style>
  <w:style w:type="table" w:styleId="91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15" w:default="1">
    <w:name w:val="No List"/>
    <w:uiPriority w:val="99"/>
    <w:semiHidden/>
    <w:unhideWhenUsed/>
  </w:style>
  <w:style w:type="character" w:styleId="916" w:customStyle="1">
    <w:name w:val="Heading 1 Char"/>
    <w:basedOn w:val="913"/>
    <w:uiPriority w:val="9"/>
    <w:rPr>
      <w:rFonts w:ascii="Arial" w:hAnsi="Arial" w:eastAsia="Arial" w:cs="Arial"/>
      <w:sz w:val="40"/>
      <w:szCs w:val="40"/>
    </w:rPr>
  </w:style>
  <w:style w:type="character" w:styleId="917" w:customStyle="1">
    <w:name w:val="Heading 2 Char"/>
    <w:basedOn w:val="913"/>
    <w:uiPriority w:val="9"/>
    <w:rPr>
      <w:rFonts w:ascii="Arial" w:hAnsi="Arial" w:eastAsia="Arial" w:cs="Arial"/>
      <w:sz w:val="34"/>
    </w:rPr>
  </w:style>
  <w:style w:type="character" w:styleId="918" w:customStyle="1">
    <w:name w:val="Heading 3 Char"/>
    <w:basedOn w:val="913"/>
    <w:uiPriority w:val="9"/>
    <w:rPr>
      <w:rFonts w:ascii="Arial" w:hAnsi="Arial" w:eastAsia="Arial" w:cs="Arial"/>
      <w:sz w:val="30"/>
      <w:szCs w:val="30"/>
    </w:rPr>
  </w:style>
  <w:style w:type="character" w:styleId="919" w:customStyle="1">
    <w:name w:val="Heading 4 Char"/>
    <w:basedOn w:val="913"/>
    <w:uiPriority w:val="9"/>
    <w:rPr>
      <w:rFonts w:ascii="Arial" w:hAnsi="Arial" w:eastAsia="Arial" w:cs="Arial"/>
      <w:b/>
      <w:bCs/>
      <w:sz w:val="26"/>
      <w:szCs w:val="26"/>
    </w:rPr>
  </w:style>
  <w:style w:type="character" w:styleId="920" w:customStyle="1">
    <w:name w:val="Heading 5 Char"/>
    <w:basedOn w:val="913"/>
    <w:uiPriority w:val="9"/>
    <w:rPr>
      <w:rFonts w:ascii="Arial" w:hAnsi="Arial" w:eastAsia="Arial" w:cs="Arial"/>
      <w:b/>
      <w:bCs/>
      <w:sz w:val="24"/>
      <w:szCs w:val="24"/>
    </w:rPr>
  </w:style>
  <w:style w:type="character" w:styleId="921" w:customStyle="1">
    <w:name w:val="Heading 6 Char"/>
    <w:basedOn w:val="913"/>
    <w:uiPriority w:val="9"/>
    <w:rPr>
      <w:rFonts w:ascii="Arial" w:hAnsi="Arial" w:eastAsia="Arial" w:cs="Arial"/>
      <w:b/>
      <w:bCs/>
      <w:sz w:val="22"/>
      <w:szCs w:val="22"/>
    </w:rPr>
  </w:style>
  <w:style w:type="character" w:styleId="922" w:customStyle="1">
    <w:name w:val="Heading 7 Char"/>
    <w:basedOn w:val="91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923" w:customStyle="1">
    <w:name w:val="Heading 8 Char"/>
    <w:basedOn w:val="913"/>
    <w:uiPriority w:val="9"/>
    <w:rPr>
      <w:rFonts w:ascii="Arial" w:hAnsi="Arial" w:eastAsia="Arial" w:cs="Arial"/>
      <w:i/>
      <w:iCs/>
      <w:sz w:val="22"/>
      <w:szCs w:val="22"/>
    </w:rPr>
  </w:style>
  <w:style w:type="character" w:styleId="924" w:customStyle="1">
    <w:name w:val="Heading 9 Char"/>
    <w:basedOn w:val="913"/>
    <w:uiPriority w:val="9"/>
    <w:rPr>
      <w:rFonts w:ascii="Arial" w:hAnsi="Arial" w:eastAsia="Arial" w:cs="Arial"/>
      <w:i/>
      <w:iCs/>
      <w:sz w:val="21"/>
      <w:szCs w:val="21"/>
    </w:rPr>
  </w:style>
  <w:style w:type="character" w:styleId="925" w:customStyle="1">
    <w:name w:val="Title Char"/>
    <w:basedOn w:val="913"/>
    <w:uiPriority w:val="10"/>
    <w:rPr>
      <w:sz w:val="48"/>
      <w:szCs w:val="48"/>
    </w:rPr>
  </w:style>
  <w:style w:type="character" w:styleId="926" w:customStyle="1">
    <w:name w:val="Subtitle Char"/>
    <w:basedOn w:val="913"/>
    <w:uiPriority w:val="11"/>
    <w:rPr>
      <w:sz w:val="24"/>
      <w:szCs w:val="24"/>
    </w:rPr>
  </w:style>
  <w:style w:type="character" w:styleId="927" w:customStyle="1">
    <w:name w:val="Quote Char"/>
    <w:uiPriority w:val="29"/>
    <w:rPr>
      <w:i/>
    </w:rPr>
  </w:style>
  <w:style w:type="character" w:styleId="928" w:customStyle="1">
    <w:name w:val="Intense Quote Char"/>
    <w:uiPriority w:val="30"/>
    <w:rPr>
      <w:i/>
    </w:rPr>
  </w:style>
  <w:style w:type="character" w:styleId="929" w:customStyle="1">
    <w:name w:val="Header Char"/>
    <w:basedOn w:val="913"/>
    <w:uiPriority w:val="99"/>
  </w:style>
  <w:style w:type="character" w:styleId="930" w:customStyle="1">
    <w:name w:val="Footer Char"/>
    <w:basedOn w:val="913"/>
    <w:uiPriority w:val="99"/>
  </w:style>
  <w:style w:type="character" w:styleId="931" w:customStyle="1">
    <w:name w:val="Caption Char"/>
    <w:uiPriority w:val="99"/>
  </w:style>
  <w:style w:type="table" w:styleId="932" w:customStyle="1">
    <w:name w:val="Table Grid Light"/>
    <w:basedOn w:val="914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933">
    <w:name w:val="Plain Table 1"/>
    <w:basedOn w:val="914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34">
    <w:name w:val="Plain Table 2"/>
    <w:basedOn w:val="914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35">
    <w:name w:val="Plain Table 3"/>
    <w:basedOn w:val="91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36">
    <w:name w:val="Plain Table 4"/>
    <w:basedOn w:val="91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7">
    <w:name w:val="Plain Table 5"/>
    <w:basedOn w:val="91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38">
    <w:name w:val="Grid Table 1 Light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9" w:customStyle="1">
    <w:name w:val="Grid Table 1 Light - Accent 1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0" w:customStyle="1">
    <w:name w:val="Grid Table 1 Light - Accent 2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1" w:customStyle="1">
    <w:name w:val="Grid Table 1 Light - Accent 3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2" w:customStyle="1">
    <w:name w:val="Grid Table 1 Light - Accent 4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3" w:customStyle="1">
    <w:name w:val="Grid Table 1 Light - Accent 5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4" w:customStyle="1">
    <w:name w:val="Grid Table 1 Light - Accent 6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5">
    <w:name w:val="Grid Table 2"/>
    <w:basedOn w:val="91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6" w:customStyle="1">
    <w:name w:val="Grid Table 2 - Accent 1"/>
    <w:basedOn w:val="91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7" w:customStyle="1">
    <w:name w:val="Grid Table 2 - Accent 2"/>
    <w:basedOn w:val="91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8" w:customStyle="1">
    <w:name w:val="Grid Table 2 - Accent 3"/>
    <w:basedOn w:val="91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9" w:customStyle="1">
    <w:name w:val="Grid Table 2 - Accent 4"/>
    <w:basedOn w:val="91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0" w:customStyle="1">
    <w:name w:val="Grid Table 2 - Accent 5"/>
    <w:basedOn w:val="91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1" w:customStyle="1">
    <w:name w:val="Grid Table 2 - Accent 6"/>
    <w:basedOn w:val="91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2">
    <w:name w:val="Grid Table 3"/>
    <w:basedOn w:val="91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3" w:customStyle="1">
    <w:name w:val="Grid Table 3 - Accent 1"/>
    <w:basedOn w:val="91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4" w:customStyle="1">
    <w:name w:val="Grid Table 3 - Accent 2"/>
    <w:basedOn w:val="91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5" w:customStyle="1">
    <w:name w:val="Grid Table 3 - Accent 3"/>
    <w:basedOn w:val="91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6" w:customStyle="1">
    <w:name w:val="Grid Table 3 - Accent 4"/>
    <w:basedOn w:val="91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7" w:customStyle="1">
    <w:name w:val="Grid Table 3 - Accent 5"/>
    <w:basedOn w:val="91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8" w:customStyle="1">
    <w:name w:val="Grid Table 3 - Accent 6"/>
    <w:basedOn w:val="91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9">
    <w:name w:val="Grid Table 4"/>
    <w:basedOn w:val="914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60" w:customStyle="1">
    <w:name w:val="Grid Table 4 - Accent 1"/>
    <w:basedOn w:val="914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961" w:customStyle="1">
    <w:name w:val="Grid Table 4 - Accent 2"/>
    <w:basedOn w:val="914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962" w:customStyle="1">
    <w:name w:val="Grid Table 4 - Accent 3"/>
    <w:basedOn w:val="914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963" w:customStyle="1">
    <w:name w:val="Grid Table 4 - Accent 4"/>
    <w:basedOn w:val="914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964" w:customStyle="1">
    <w:name w:val="Grid Table 4 - Accent 5"/>
    <w:basedOn w:val="914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965" w:customStyle="1">
    <w:name w:val="Grid Table 4 - Accent 6"/>
    <w:basedOn w:val="914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966">
    <w:name w:val="Grid Table 5 Dark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967" w:customStyle="1">
    <w:name w:val="Grid Table 5 Dark- Accent 1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968" w:customStyle="1">
    <w:name w:val="Grid Table 5 Dark - Accent 2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969" w:customStyle="1">
    <w:name w:val="Grid Table 5 Dark - Accent 3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970" w:customStyle="1">
    <w:name w:val="Grid Table 5 Dark- Accent 4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971" w:customStyle="1">
    <w:name w:val="Grid Table 5 Dark - Accent 5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972" w:customStyle="1">
    <w:name w:val="Grid Table 5 Dark - Accent 6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973">
    <w:name w:val="Grid Table 6 Colorful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74" w:customStyle="1">
    <w:name w:val="Grid Table 6 Colorful - Accent 1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975" w:customStyle="1">
    <w:name w:val="Grid Table 6 Colorful - Accent 2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976" w:customStyle="1">
    <w:name w:val="Grid Table 6 Colorful - Accent 3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977" w:customStyle="1">
    <w:name w:val="Grid Table 6 Colorful - Accent 4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978" w:customStyle="1">
    <w:name w:val="Grid Table 6 Colorful - Accent 5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79" w:customStyle="1">
    <w:name w:val="Grid Table 6 Colorful - Accent 6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80">
    <w:name w:val="Grid Table 7 Colorful"/>
    <w:basedOn w:val="91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1" w:customStyle="1">
    <w:name w:val="Grid Table 7 Colorful - Accent 1"/>
    <w:basedOn w:val="91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2" w:customStyle="1">
    <w:name w:val="Grid Table 7 Colorful - Accent 2"/>
    <w:basedOn w:val="91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3" w:customStyle="1">
    <w:name w:val="Grid Table 7 Colorful - Accent 3"/>
    <w:basedOn w:val="91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4" w:customStyle="1">
    <w:name w:val="Grid Table 7 Colorful - Accent 4"/>
    <w:basedOn w:val="91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5" w:customStyle="1">
    <w:name w:val="Grid Table 7 Colorful - Accent 5"/>
    <w:basedOn w:val="91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6" w:customStyle="1">
    <w:name w:val="Grid Table 7 Colorful - Accent 6"/>
    <w:basedOn w:val="91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7">
    <w:name w:val="List Table 1 Light"/>
    <w:basedOn w:val="91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8" w:customStyle="1">
    <w:name w:val="List Table 1 Light - Accent 1"/>
    <w:basedOn w:val="91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9" w:customStyle="1">
    <w:name w:val="List Table 1 Light - Accent 2"/>
    <w:basedOn w:val="91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0" w:customStyle="1">
    <w:name w:val="List Table 1 Light - Accent 3"/>
    <w:basedOn w:val="91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1" w:customStyle="1">
    <w:name w:val="List Table 1 Light - Accent 4"/>
    <w:basedOn w:val="91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2" w:customStyle="1">
    <w:name w:val="List Table 1 Light - Accent 5"/>
    <w:basedOn w:val="91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3" w:customStyle="1">
    <w:name w:val="List Table 1 Light - Accent 6"/>
    <w:basedOn w:val="91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4">
    <w:name w:val="List Table 2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95" w:customStyle="1">
    <w:name w:val="List Table 2 - Accent 1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996" w:customStyle="1">
    <w:name w:val="List Table 2 - Accent 2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997" w:customStyle="1">
    <w:name w:val="List Table 2 - Accent 3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998" w:customStyle="1">
    <w:name w:val="List Table 2 - Accent 4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999" w:customStyle="1">
    <w:name w:val="List Table 2 - Accent 5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1000" w:customStyle="1">
    <w:name w:val="List Table 2 - Accent 6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1001">
    <w:name w:val="List Table 3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2" w:customStyle="1">
    <w:name w:val="List Table 3 - Accent 1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3" w:customStyle="1">
    <w:name w:val="List Table 3 - Accent 2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4" w:customStyle="1">
    <w:name w:val="List Table 3 - Accent 3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5" w:customStyle="1">
    <w:name w:val="List Table 3 - Accent 4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6" w:customStyle="1">
    <w:name w:val="List Table 3 - Accent 5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7" w:customStyle="1">
    <w:name w:val="List Table 3 - Accent 6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8">
    <w:name w:val="List Table 4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9" w:customStyle="1">
    <w:name w:val="List Table 4 - Accent 1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0" w:customStyle="1">
    <w:name w:val="List Table 4 - Accent 2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1" w:customStyle="1">
    <w:name w:val="List Table 4 - Accent 3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2" w:customStyle="1">
    <w:name w:val="List Table 4 - Accent 4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3" w:customStyle="1">
    <w:name w:val="List Table 4 - Accent 5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4" w:customStyle="1">
    <w:name w:val="List Table 4 - Accent 6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5">
    <w:name w:val="List Table 5 Dark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16" w:customStyle="1">
    <w:name w:val="List Table 5 Dark - Accent 1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17" w:customStyle="1">
    <w:name w:val="List Table 5 Dark - Accent 2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18" w:customStyle="1">
    <w:name w:val="List Table 5 Dark - Accent 3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19" w:customStyle="1">
    <w:name w:val="List Table 5 Dark - Accent 4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20" w:customStyle="1">
    <w:name w:val="List Table 5 Dark - Accent 5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21" w:customStyle="1">
    <w:name w:val="List Table 5 Dark - Accent 6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22">
    <w:name w:val="List Table 6 Colorful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1023" w:customStyle="1">
    <w:name w:val="List Table 6 Colorful - Accent 1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1024" w:customStyle="1">
    <w:name w:val="List Table 6 Colorful - Accent 2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1025" w:customStyle="1">
    <w:name w:val="List Table 6 Colorful - Accent 3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1026" w:customStyle="1">
    <w:name w:val="List Table 6 Colorful - Accent 4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1027" w:customStyle="1">
    <w:name w:val="List Table 6 Colorful - Accent 5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1028" w:customStyle="1">
    <w:name w:val="List Table 6 Colorful - Accent 6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1029">
    <w:name w:val="List Table 7 Colorful"/>
    <w:basedOn w:val="91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0" w:customStyle="1">
    <w:name w:val="List Table 7 Colorful - Accent 1"/>
    <w:basedOn w:val="91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1" w:customStyle="1">
    <w:name w:val="List Table 7 Colorful - Accent 2"/>
    <w:basedOn w:val="91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2" w:customStyle="1">
    <w:name w:val="List Table 7 Colorful - Accent 3"/>
    <w:basedOn w:val="91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3" w:customStyle="1">
    <w:name w:val="List Table 7 Colorful - Accent 4"/>
    <w:basedOn w:val="91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4" w:customStyle="1">
    <w:name w:val="List Table 7 Colorful - Accent 5"/>
    <w:basedOn w:val="91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5" w:customStyle="1">
    <w:name w:val="List Table 7 Colorful - Accent 6"/>
    <w:basedOn w:val="91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6" w:customStyle="1">
    <w:name w:val="Lined - Accent"/>
    <w:basedOn w:val="9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037" w:customStyle="1">
    <w:name w:val="Lined - Accent 1"/>
    <w:basedOn w:val="9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038" w:customStyle="1">
    <w:name w:val="Lined - Accent 2"/>
    <w:basedOn w:val="9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039" w:customStyle="1">
    <w:name w:val="Lined - Accent 3"/>
    <w:basedOn w:val="9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040" w:customStyle="1">
    <w:name w:val="Lined - Accent 4"/>
    <w:basedOn w:val="9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041" w:customStyle="1">
    <w:name w:val="Lined - Accent 5"/>
    <w:basedOn w:val="9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042" w:customStyle="1">
    <w:name w:val="Lined - Accent 6"/>
    <w:basedOn w:val="9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043" w:customStyle="1">
    <w:name w:val="Bordered &amp; Lined - Accent"/>
    <w:basedOn w:val="9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044" w:customStyle="1">
    <w:name w:val="Bordered &amp; Lined - Accent 1"/>
    <w:basedOn w:val="9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045" w:customStyle="1">
    <w:name w:val="Bordered &amp; Lined - Accent 2"/>
    <w:basedOn w:val="9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046" w:customStyle="1">
    <w:name w:val="Bordered &amp; Lined - Accent 3"/>
    <w:basedOn w:val="9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047" w:customStyle="1">
    <w:name w:val="Bordered &amp; Lined - Accent 4"/>
    <w:basedOn w:val="9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048" w:customStyle="1">
    <w:name w:val="Bordered &amp; Lined - Accent 5"/>
    <w:basedOn w:val="9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049" w:customStyle="1">
    <w:name w:val="Bordered &amp; Lined - Accent 6"/>
    <w:basedOn w:val="9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050" w:customStyle="1">
    <w:name w:val="Bordered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051" w:customStyle="1">
    <w:name w:val="Bordered - Accent 1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052" w:customStyle="1">
    <w:name w:val="Bordered - Accent 2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1053" w:customStyle="1">
    <w:name w:val="Bordered - Accent 3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1054" w:customStyle="1">
    <w:name w:val="Bordered - Accent 4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1055" w:customStyle="1">
    <w:name w:val="Bordered - Accent 5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1056" w:customStyle="1">
    <w:name w:val="Bordered - Accent 6"/>
    <w:basedOn w:val="91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1057" w:customStyle="1">
    <w:name w:val="Footnote Text Char"/>
    <w:uiPriority w:val="99"/>
    <w:rPr>
      <w:sz w:val="18"/>
    </w:rPr>
  </w:style>
  <w:style w:type="character" w:styleId="1058" w:customStyle="1">
    <w:name w:val="Endnote Text Char"/>
    <w:uiPriority w:val="99"/>
    <w:rPr>
      <w:sz w:val="20"/>
    </w:rPr>
  </w:style>
  <w:style w:type="character" w:styleId="1059" w:customStyle="1">
    <w:name w:val="Заголовок 2 Знак1"/>
    <w:link w:val="905"/>
    <w:rPr>
      <w:rFonts w:ascii="Times New Roman" w:hAnsi="Times New Roman" w:eastAsia="Times New Roman" w:cs="Arial"/>
      <w:b/>
      <w:bCs/>
      <w:i/>
      <w:iCs/>
      <w:sz w:val="28"/>
      <w:szCs w:val="28"/>
      <w:lang w:eastAsia="ru-RU"/>
    </w:rPr>
  </w:style>
  <w:style w:type="character" w:styleId="1060" w:customStyle="1">
    <w:name w:val="Заголовок 3 Знак"/>
    <w:basedOn w:val="913"/>
    <w:link w:val="906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1061" w:customStyle="1">
    <w:name w:val="Заголовок 5 Знак"/>
    <w:basedOn w:val="913"/>
    <w:link w:val="908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1062" w:customStyle="1">
    <w:name w:val="Основной текст_"/>
    <w:basedOn w:val="913"/>
    <w:link w:val="1063"/>
    <w:rPr>
      <w:rFonts w:ascii="Times New Roman" w:hAnsi="Times New Roman" w:eastAsia="Times New Roman" w:cs="Times New Roman"/>
      <w:sz w:val="26"/>
      <w:szCs w:val="26"/>
      <w:shd w:val="clear" w:color="auto" w:fill="ffffff"/>
    </w:rPr>
  </w:style>
  <w:style w:type="paragraph" w:styleId="1063" w:customStyle="1">
    <w:name w:val="Основной текст3"/>
    <w:basedOn w:val="903"/>
    <w:link w:val="1062"/>
    <w:pPr>
      <w:spacing w:before="420" w:after="420" w:line="0" w:lineRule="atLeast"/>
      <w:shd w:val="clear" w:color="auto" w:fill="ffffff"/>
      <w:widowControl w:val="off"/>
    </w:pPr>
    <w:rPr>
      <w:rFonts w:ascii="Times New Roman" w:hAnsi="Times New Roman" w:eastAsia="Times New Roman" w:cs="Times New Roman"/>
      <w:sz w:val="26"/>
      <w:szCs w:val="26"/>
    </w:rPr>
  </w:style>
  <w:style w:type="character" w:styleId="1064" w:customStyle="1">
    <w:name w:val="Заголовок №1_"/>
    <w:basedOn w:val="913"/>
    <w:link w:val="1065"/>
    <w:rPr>
      <w:rFonts w:ascii="Times New Roman" w:hAnsi="Times New Roman" w:eastAsia="Times New Roman" w:cs="Times New Roman"/>
      <w:b/>
      <w:bCs/>
      <w:spacing w:val="-1"/>
      <w:sz w:val="27"/>
      <w:szCs w:val="27"/>
      <w:shd w:val="clear" w:color="auto" w:fill="ffffff"/>
    </w:rPr>
  </w:style>
  <w:style w:type="paragraph" w:styleId="1065" w:customStyle="1">
    <w:name w:val="Заголовок №1"/>
    <w:basedOn w:val="903"/>
    <w:link w:val="1064"/>
    <w:pPr>
      <w:jc w:val="center"/>
      <w:spacing w:after="420" w:line="0" w:lineRule="atLeast"/>
      <w:shd w:val="clear" w:color="auto" w:fill="ffffff"/>
      <w:widowControl w:val="off"/>
      <w:outlineLvl w:val="0"/>
    </w:pPr>
    <w:rPr>
      <w:rFonts w:ascii="Times New Roman" w:hAnsi="Times New Roman" w:eastAsia="Times New Roman" w:cs="Times New Roman"/>
      <w:b/>
      <w:bCs/>
      <w:spacing w:val="-1"/>
      <w:sz w:val="27"/>
      <w:szCs w:val="27"/>
    </w:rPr>
  </w:style>
  <w:style w:type="character" w:styleId="1066" w:customStyle="1">
    <w:name w:val="Основной текст (2)_"/>
    <w:basedOn w:val="913"/>
    <w:link w:val="1067"/>
    <w:uiPriority w:val="99"/>
    <w:rPr>
      <w:rFonts w:ascii="Times New Roman" w:hAnsi="Times New Roman" w:eastAsia="Times New Roman" w:cs="Times New Roman"/>
      <w:i/>
      <w:iCs/>
      <w:spacing w:val="-1"/>
      <w:sz w:val="26"/>
      <w:szCs w:val="26"/>
      <w:shd w:val="clear" w:color="auto" w:fill="ffffff"/>
    </w:rPr>
  </w:style>
  <w:style w:type="paragraph" w:styleId="1067" w:customStyle="1">
    <w:name w:val="Основной текст (2)"/>
    <w:basedOn w:val="903"/>
    <w:link w:val="1066"/>
    <w:uiPriority w:val="99"/>
    <w:pPr>
      <w:jc w:val="both"/>
      <w:spacing w:before="300" w:after="0" w:line="322" w:lineRule="exact"/>
      <w:shd w:val="clear" w:color="auto" w:fill="ffffff"/>
      <w:widowControl w:val="off"/>
    </w:pPr>
    <w:rPr>
      <w:rFonts w:ascii="Times New Roman" w:hAnsi="Times New Roman" w:eastAsia="Times New Roman" w:cs="Times New Roman"/>
      <w:i/>
      <w:iCs/>
      <w:spacing w:val="-1"/>
      <w:sz w:val="26"/>
      <w:szCs w:val="26"/>
    </w:rPr>
  </w:style>
  <w:style w:type="character" w:styleId="1068" w:customStyle="1">
    <w:name w:val="Основной текст (2) + Не курсив;Интервал 0 pt"/>
    <w:basedOn w:val="1066"/>
    <w:rPr>
      <w:rFonts w:ascii="Times New Roman" w:hAnsi="Times New Roman" w:eastAsia="Times New Roman" w:cs="Times New Roman"/>
      <w:i/>
      <w:iCs/>
      <w:color w:val="000000"/>
      <w:spacing w:val="0"/>
      <w:position w:val="0"/>
      <w:sz w:val="26"/>
      <w:szCs w:val="26"/>
      <w:shd w:val="clear" w:color="auto" w:fill="ffffff"/>
      <w:lang w:val="ru-RU"/>
    </w:rPr>
  </w:style>
  <w:style w:type="character" w:styleId="1069" w:customStyle="1">
    <w:name w:val="Основной текст + Курсив;Интервал 0 pt"/>
    <w:basedOn w:val="1062"/>
    <w:rPr>
      <w:rFonts w:ascii="Times New Roman" w:hAnsi="Times New Roman" w:eastAsia="Times New Roman" w:cs="Times New Roman"/>
      <w:b w:val="0"/>
      <w:bCs w:val="0"/>
      <w:i/>
      <w:iCs/>
      <w:smallCaps w:val="0"/>
      <w:strike w:val="0"/>
      <w:color w:val="000000"/>
      <w:spacing w:val="-1"/>
      <w:position w:val="0"/>
      <w:sz w:val="26"/>
      <w:szCs w:val="26"/>
      <w:u w:val="none"/>
      <w:shd w:val="clear" w:color="auto" w:fill="ffffff"/>
      <w:lang w:val="ru-RU"/>
    </w:rPr>
  </w:style>
  <w:style w:type="character" w:styleId="1070">
    <w:name w:val="Hyperlink"/>
    <w:basedOn w:val="913"/>
    <w:uiPriority w:val="99"/>
    <w:rPr>
      <w:color w:val="0066cc"/>
      <w:u w:val="single"/>
    </w:rPr>
  </w:style>
  <w:style w:type="paragraph" w:styleId="1071">
    <w:name w:val="List Paragraph"/>
    <w:basedOn w:val="903"/>
    <w:link w:val="1138"/>
    <w:uiPriority w:val="34"/>
    <w:qFormat/>
    <w:pPr>
      <w:contextualSpacing/>
      <w:ind w:left="720"/>
    </w:pPr>
  </w:style>
  <w:style w:type="character" w:styleId="1072" w:customStyle="1">
    <w:name w:val="Основной текст (3)_"/>
    <w:basedOn w:val="913"/>
    <w:link w:val="1073"/>
    <w:rPr>
      <w:b/>
      <w:bCs/>
      <w:i/>
      <w:iCs/>
      <w:sz w:val="11"/>
      <w:szCs w:val="11"/>
      <w:shd w:val="clear" w:color="auto" w:fill="ffffff"/>
    </w:rPr>
  </w:style>
  <w:style w:type="paragraph" w:styleId="1073" w:customStyle="1">
    <w:name w:val="Основной текст (3)"/>
    <w:basedOn w:val="903"/>
    <w:link w:val="1072"/>
    <w:pPr>
      <w:spacing w:after="0" w:line="0" w:lineRule="atLeast"/>
      <w:shd w:val="clear" w:color="auto" w:fill="ffffff"/>
      <w:widowControl w:val="off"/>
    </w:pPr>
    <w:rPr>
      <w:b/>
      <w:bCs/>
      <w:i/>
      <w:iCs/>
      <w:sz w:val="11"/>
      <w:szCs w:val="11"/>
    </w:rPr>
  </w:style>
  <w:style w:type="character" w:styleId="1074" w:customStyle="1">
    <w:name w:val="Основной текст + Интервал 0 pt"/>
    <w:basedOn w:val="1062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6"/>
      <w:position w:val="0"/>
      <w:sz w:val="26"/>
      <w:szCs w:val="26"/>
      <w:u w:val="none"/>
      <w:shd w:val="clear" w:color="auto" w:fill="ffffff"/>
      <w:lang w:val="ru-RU"/>
    </w:rPr>
  </w:style>
  <w:style w:type="character" w:styleId="1075" w:customStyle="1">
    <w:name w:val="Основной текст + 10;5 pt;Полужирный;Интервал 0 pt"/>
    <w:basedOn w:val="1062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3"/>
      <w:position w:val="0"/>
      <w:sz w:val="21"/>
      <w:szCs w:val="21"/>
      <w:u w:val="none"/>
      <w:shd w:val="clear" w:color="auto" w:fill="ffffff"/>
      <w:lang w:val="ru-RU"/>
    </w:rPr>
  </w:style>
  <w:style w:type="character" w:styleId="1076" w:customStyle="1">
    <w:name w:val="Основной текст + 10;5 pt;Курсив;Интервал 0 pt"/>
    <w:basedOn w:val="1062"/>
    <w:rPr>
      <w:rFonts w:ascii="Times New Roman" w:hAnsi="Times New Roman" w:eastAsia="Times New Roman" w:cs="Times New Roman"/>
      <w:b w:val="0"/>
      <w:bCs w:val="0"/>
      <w:i/>
      <w:iCs/>
      <w:smallCaps w:val="0"/>
      <w:strike w:val="0"/>
      <w:color w:val="000000"/>
      <w:spacing w:val="-3"/>
      <w:position w:val="0"/>
      <w:sz w:val="21"/>
      <w:szCs w:val="21"/>
      <w:u w:val="none"/>
      <w:shd w:val="clear" w:color="auto" w:fill="ffffff"/>
      <w:lang w:val="ru-RU"/>
    </w:rPr>
  </w:style>
  <w:style w:type="character" w:styleId="1077" w:customStyle="1">
    <w:name w:val="Основной текст + 10;5 pt;Интервал 0 pt"/>
    <w:basedOn w:val="1062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3"/>
      <w:position w:val="0"/>
      <w:sz w:val="21"/>
      <w:szCs w:val="21"/>
      <w:u w:val="none"/>
      <w:shd w:val="clear" w:color="auto" w:fill="ffffff"/>
      <w:lang w:val="ru-RU"/>
    </w:rPr>
  </w:style>
  <w:style w:type="character" w:styleId="1078" w:customStyle="1">
    <w:name w:val="Основной текст1"/>
    <w:basedOn w:val="1062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6"/>
      <w:szCs w:val="26"/>
      <w:u w:val="single"/>
      <w:shd w:val="clear" w:color="auto" w:fill="ffffff"/>
      <w:lang w:val="ru-RU"/>
    </w:rPr>
  </w:style>
  <w:style w:type="character" w:styleId="1079" w:customStyle="1">
    <w:name w:val="Заголовок №1 + 13 pt"/>
    <w:basedOn w:val="1064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-1"/>
      <w:position w:val="0"/>
      <w:sz w:val="26"/>
      <w:szCs w:val="26"/>
      <w:u w:val="none"/>
      <w:shd w:val="clear" w:color="auto" w:fill="ffffff"/>
      <w:lang w:val="ru-RU"/>
    </w:rPr>
  </w:style>
  <w:style w:type="character" w:styleId="1080" w:customStyle="1">
    <w:name w:val="Основной текст + Курсив"/>
    <w:basedOn w:val="1062"/>
    <w:rPr>
      <w:rFonts w:ascii="Times New Roman" w:hAnsi="Times New Roman" w:eastAsia="Times New Roman" w:cs="Times New Roman"/>
      <w:b w:val="0"/>
      <w:bCs w:val="0"/>
      <w:i/>
      <w:iCs/>
      <w:smallCaps w:val="0"/>
      <w:strike w:val="0"/>
      <w:color w:val="000000"/>
      <w:spacing w:val="0"/>
      <w:position w:val="0"/>
      <w:sz w:val="26"/>
      <w:szCs w:val="26"/>
      <w:u w:val="none"/>
      <w:shd w:val="clear" w:color="auto" w:fill="ffffff"/>
      <w:lang w:val="ru-RU"/>
    </w:rPr>
  </w:style>
  <w:style w:type="character" w:styleId="1081" w:customStyle="1">
    <w:name w:val="Основной текст (4)_"/>
    <w:basedOn w:val="913"/>
    <w:link w:val="1082"/>
    <w:rPr>
      <w:rFonts w:ascii="Times New Roman" w:hAnsi="Times New Roman" w:eastAsia="Times New Roman" w:cs="Times New Roman"/>
      <w:spacing w:val="5"/>
      <w:sz w:val="18"/>
      <w:szCs w:val="18"/>
      <w:shd w:val="clear" w:color="auto" w:fill="ffffff"/>
    </w:rPr>
  </w:style>
  <w:style w:type="paragraph" w:styleId="1082" w:customStyle="1">
    <w:name w:val="Основной текст (4)"/>
    <w:basedOn w:val="903"/>
    <w:link w:val="1081"/>
    <w:pPr>
      <w:spacing w:after="0" w:line="0" w:lineRule="atLeast"/>
      <w:shd w:val="clear" w:color="auto" w:fill="ffffff"/>
      <w:widowControl w:val="off"/>
    </w:pPr>
    <w:rPr>
      <w:rFonts w:ascii="Times New Roman" w:hAnsi="Times New Roman" w:eastAsia="Times New Roman" w:cs="Times New Roman"/>
      <w:spacing w:val="5"/>
      <w:sz w:val="18"/>
      <w:szCs w:val="18"/>
    </w:rPr>
  </w:style>
  <w:style w:type="character" w:styleId="1083" w:customStyle="1">
    <w:name w:val="Основной текст (2) + Интервал 0 pt"/>
    <w:basedOn w:val="1066"/>
    <w:rPr>
      <w:rFonts w:ascii="Times New Roman" w:hAnsi="Times New Roman" w:eastAsia="Times New Roman" w:cs="Times New Roman"/>
      <w:b w:val="0"/>
      <w:bCs w:val="0"/>
      <w:i/>
      <w:iCs/>
      <w:smallCaps w:val="0"/>
      <w:strike w:val="0"/>
      <w:color w:val="000000"/>
      <w:spacing w:val="0"/>
      <w:position w:val="0"/>
      <w:sz w:val="26"/>
      <w:szCs w:val="26"/>
      <w:u w:val="none"/>
      <w:shd w:val="clear" w:color="auto" w:fill="ffffff"/>
      <w:lang w:val="ru-RU"/>
    </w:rPr>
  </w:style>
  <w:style w:type="character" w:styleId="1084" w:customStyle="1">
    <w:name w:val="Заголовок 2 Знак"/>
    <w:basedOn w:val="913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1085" w:customStyle="1">
    <w:name w:val="Колонтитул (2)_"/>
    <w:basedOn w:val="913"/>
    <w:link w:val="1086"/>
    <w:rPr>
      <w:rFonts w:ascii="Times New Roman" w:hAnsi="Times New Roman" w:eastAsia="Times New Roman" w:cs="Times New Roman"/>
      <w:spacing w:val="4"/>
      <w:sz w:val="21"/>
      <w:szCs w:val="21"/>
      <w:shd w:val="clear" w:color="auto" w:fill="ffffff"/>
    </w:rPr>
  </w:style>
  <w:style w:type="paragraph" w:styleId="1086" w:customStyle="1">
    <w:name w:val="Колонтитул (2)"/>
    <w:basedOn w:val="903"/>
    <w:link w:val="1085"/>
    <w:pPr>
      <w:spacing w:after="0" w:line="0" w:lineRule="atLeast"/>
      <w:shd w:val="clear" w:color="auto" w:fill="ffffff"/>
      <w:widowControl w:val="off"/>
    </w:pPr>
    <w:rPr>
      <w:rFonts w:ascii="Times New Roman" w:hAnsi="Times New Roman" w:eastAsia="Times New Roman" w:cs="Times New Roman"/>
      <w:spacing w:val="4"/>
      <w:sz w:val="21"/>
      <w:szCs w:val="21"/>
    </w:rPr>
  </w:style>
  <w:style w:type="character" w:styleId="1087" w:customStyle="1">
    <w:name w:val="Основной текст (5)_"/>
    <w:basedOn w:val="913"/>
    <w:link w:val="1088"/>
    <w:rPr>
      <w:rFonts w:ascii="Times New Roman" w:hAnsi="Times New Roman" w:eastAsia="Times New Roman" w:cs="Times New Roman"/>
      <w:i/>
      <w:iCs/>
      <w:spacing w:val="-2"/>
      <w:shd w:val="clear" w:color="auto" w:fill="ffffff"/>
    </w:rPr>
  </w:style>
  <w:style w:type="paragraph" w:styleId="1088" w:customStyle="1">
    <w:name w:val="Основной текст (5)"/>
    <w:basedOn w:val="903"/>
    <w:link w:val="1087"/>
    <w:pPr>
      <w:jc w:val="both"/>
      <w:spacing w:before="180" w:after="360" w:line="0" w:lineRule="atLeast"/>
      <w:shd w:val="clear" w:color="auto" w:fill="ffffff"/>
      <w:widowControl w:val="off"/>
    </w:pPr>
    <w:rPr>
      <w:rFonts w:ascii="Times New Roman" w:hAnsi="Times New Roman" w:eastAsia="Times New Roman" w:cs="Times New Roman"/>
      <w:i/>
      <w:iCs/>
      <w:spacing w:val="-2"/>
    </w:rPr>
  </w:style>
  <w:style w:type="character" w:styleId="1089" w:customStyle="1">
    <w:name w:val="Основной текст2"/>
    <w:basedOn w:val="1062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6"/>
      <w:szCs w:val="26"/>
      <w:u w:val="none"/>
      <w:shd w:val="clear" w:color="auto" w:fill="ffffff"/>
    </w:rPr>
  </w:style>
  <w:style w:type="character" w:styleId="1090" w:customStyle="1">
    <w:name w:val="Оглавление_"/>
    <w:basedOn w:val="913"/>
    <w:link w:val="1091"/>
    <w:rPr>
      <w:rFonts w:ascii="Times New Roman" w:hAnsi="Times New Roman" w:eastAsia="Times New Roman" w:cs="Times New Roman"/>
      <w:sz w:val="26"/>
      <w:szCs w:val="26"/>
      <w:shd w:val="clear" w:color="auto" w:fill="ffffff"/>
    </w:rPr>
  </w:style>
  <w:style w:type="paragraph" w:styleId="1091" w:customStyle="1">
    <w:name w:val="Оглавление"/>
    <w:basedOn w:val="903"/>
    <w:link w:val="1090"/>
    <w:pPr>
      <w:ind w:firstLine="740"/>
      <w:jc w:val="both"/>
      <w:spacing w:after="0" w:line="322" w:lineRule="exact"/>
      <w:shd w:val="clear" w:color="auto" w:fill="ffffff"/>
      <w:widowControl w:val="off"/>
    </w:pPr>
    <w:rPr>
      <w:rFonts w:ascii="Times New Roman" w:hAnsi="Times New Roman" w:eastAsia="Times New Roman" w:cs="Times New Roman"/>
      <w:sz w:val="26"/>
      <w:szCs w:val="26"/>
    </w:rPr>
  </w:style>
  <w:style w:type="character" w:styleId="1092" w:customStyle="1">
    <w:name w:val="Подпись к таблице (2)_"/>
    <w:basedOn w:val="913"/>
    <w:link w:val="1093"/>
    <w:rPr>
      <w:rFonts w:ascii="Times New Roman" w:hAnsi="Times New Roman" w:eastAsia="Times New Roman" w:cs="Times New Roman"/>
      <w:i/>
      <w:iCs/>
      <w:sz w:val="26"/>
      <w:szCs w:val="26"/>
      <w:shd w:val="clear" w:color="auto" w:fill="ffffff"/>
    </w:rPr>
  </w:style>
  <w:style w:type="paragraph" w:styleId="1093" w:customStyle="1">
    <w:name w:val="Подпись к таблице (2)"/>
    <w:basedOn w:val="903"/>
    <w:link w:val="1092"/>
    <w:pPr>
      <w:ind w:hanging="1280"/>
      <w:spacing w:after="0" w:line="322" w:lineRule="exact"/>
      <w:shd w:val="clear" w:color="auto" w:fill="ffffff"/>
      <w:widowControl w:val="off"/>
    </w:pPr>
    <w:rPr>
      <w:rFonts w:ascii="Times New Roman" w:hAnsi="Times New Roman" w:eastAsia="Times New Roman" w:cs="Times New Roman"/>
      <w:i/>
      <w:iCs/>
      <w:sz w:val="26"/>
      <w:szCs w:val="26"/>
    </w:rPr>
  </w:style>
  <w:style w:type="character" w:styleId="1094" w:customStyle="1">
    <w:name w:val="Подпись к таблице (3)_"/>
    <w:basedOn w:val="913"/>
    <w:link w:val="1095"/>
    <w:rPr>
      <w:rFonts w:ascii="Times New Roman" w:hAnsi="Times New Roman" w:eastAsia="Times New Roman" w:cs="Times New Roman"/>
      <w:sz w:val="26"/>
      <w:szCs w:val="26"/>
      <w:shd w:val="clear" w:color="auto" w:fill="ffffff"/>
    </w:rPr>
  </w:style>
  <w:style w:type="paragraph" w:styleId="1095" w:customStyle="1">
    <w:name w:val="Подпись к таблице (3)"/>
    <w:basedOn w:val="903"/>
    <w:link w:val="1094"/>
    <w:pPr>
      <w:spacing w:after="0" w:line="322" w:lineRule="exact"/>
      <w:shd w:val="clear" w:color="auto" w:fill="ffffff"/>
      <w:widowControl w:val="off"/>
    </w:pPr>
    <w:rPr>
      <w:rFonts w:ascii="Times New Roman" w:hAnsi="Times New Roman" w:eastAsia="Times New Roman" w:cs="Times New Roman"/>
      <w:sz w:val="26"/>
      <w:szCs w:val="26"/>
    </w:rPr>
  </w:style>
  <w:style w:type="character" w:styleId="1096" w:customStyle="1">
    <w:name w:val="Подпись к таблице (3) + Курсив"/>
    <w:basedOn w:val="1094"/>
    <w:rPr>
      <w:rFonts w:ascii="Times New Roman" w:hAnsi="Times New Roman" w:eastAsia="Times New Roman" w:cs="Times New Roman"/>
      <w:i/>
      <w:iCs/>
      <w:color w:val="000000"/>
      <w:spacing w:val="0"/>
      <w:position w:val="0"/>
      <w:sz w:val="26"/>
      <w:szCs w:val="26"/>
      <w:shd w:val="clear" w:color="auto" w:fill="ffffff"/>
      <w:lang w:val="ru-RU"/>
    </w:rPr>
  </w:style>
  <w:style w:type="paragraph" w:styleId="1097">
    <w:name w:val="Body Text 3"/>
    <w:basedOn w:val="903"/>
    <w:link w:val="1098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</w:rPr>
  </w:style>
  <w:style w:type="character" w:styleId="1098" w:customStyle="1">
    <w:name w:val="Основной текст 3 Знак"/>
    <w:basedOn w:val="913"/>
    <w:link w:val="1097"/>
    <w:rPr>
      <w:rFonts w:ascii="Times New Roman" w:hAnsi="Times New Roman" w:eastAsia="Times New Roman" w:cs="Times New Roman"/>
      <w:sz w:val="16"/>
      <w:szCs w:val="16"/>
    </w:rPr>
  </w:style>
  <w:style w:type="paragraph" w:styleId="1099">
    <w:name w:val="Plain Text"/>
    <w:basedOn w:val="903"/>
    <w:link w:val="1100"/>
    <w:uiPriority w:val="99"/>
    <w:pPr>
      <w:ind w:firstLine="900"/>
      <w:jc w:val="both"/>
      <w:spacing w:after="0" w:line="240" w:lineRule="auto"/>
      <w:tabs>
        <w:tab w:val="left" w:pos="360" w:leader="none"/>
      </w:tabs>
    </w:pPr>
    <w:rPr>
      <w:rFonts w:ascii="Times New Roman" w:hAnsi="Times New Roman" w:eastAsia="MS Mincho" w:cs="Times New Roman"/>
      <w:spacing w:val="-2"/>
      <w:sz w:val="26"/>
      <w:szCs w:val="20"/>
    </w:rPr>
  </w:style>
  <w:style w:type="character" w:styleId="1100" w:customStyle="1">
    <w:name w:val="Текст Знак"/>
    <w:basedOn w:val="913"/>
    <w:link w:val="1099"/>
    <w:uiPriority w:val="99"/>
    <w:rPr>
      <w:rFonts w:ascii="Times New Roman" w:hAnsi="Times New Roman" w:eastAsia="MS Mincho" w:cs="Times New Roman"/>
      <w:spacing w:val="-2"/>
      <w:sz w:val="26"/>
      <w:szCs w:val="20"/>
    </w:rPr>
  </w:style>
  <w:style w:type="paragraph" w:styleId="1101" w:customStyle="1">
    <w:name w:val="Обычный1"/>
    <w:link w:val="1119"/>
    <w:pPr>
      <w:ind w:firstLine="720"/>
      <w:jc w:val="both"/>
      <w:spacing w:after="0" w:line="240" w:lineRule="auto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102">
    <w:name w:val="Balloon Text"/>
    <w:basedOn w:val="903"/>
    <w:link w:val="1103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1103" w:customStyle="1">
    <w:name w:val="Текст выноски Знак"/>
    <w:basedOn w:val="913"/>
    <w:link w:val="1102"/>
    <w:uiPriority w:val="99"/>
    <w:rPr>
      <w:rFonts w:ascii="Tahoma" w:hAnsi="Tahoma" w:cs="Tahoma"/>
      <w:sz w:val="16"/>
      <w:szCs w:val="16"/>
    </w:rPr>
  </w:style>
  <w:style w:type="paragraph" w:styleId="1104">
    <w:name w:val="Header"/>
    <w:basedOn w:val="903"/>
    <w:link w:val="1105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1105" w:customStyle="1">
    <w:name w:val="Верхний колонтитул Знак"/>
    <w:basedOn w:val="913"/>
    <w:link w:val="1104"/>
  </w:style>
  <w:style w:type="paragraph" w:styleId="1106">
    <w:name w:val="Footer"/>
    <w:basedOn w:val="903"/>
    <w:link w:val="110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1107" w:customStyle="1">
    <w:name w:val="Нижний колонтитул Знак"/>
    <w:basedOn w:val="913"/>
    <w:link w:val="1106"/>
    <w:uiPriority w:val="99"/>
  </w:style>
  <w:style w:type="table" w:styleId="1108">
    <w:name w:val="Table Grid"/>
    <w:basedOn w:val="914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109">
    <w:name w:val="Body Text"/>
    <w:basedOn w:val="903"/>
    <w:link w:val="1110"/>
    <w:qFormat/>
    <w:pPr>
      <w:ind w:firstLine="567"/>
      <w:jc w:val="both"/>
      <w:spacing w:after="120" w:line="360" w:lineRule="auto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1110" w:customStyle="1">
    <w:name w:val="Основной текст Знак"/>
    <w:basedOn w:val="913"/>
    <w:link w:val="1109"/>
    <w:qFormat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111">
    <w:name w:val="footnote text"/>
    <w:basedOn w:val="903"/>
    <w:link w:val="1112"/>
    <w:uiPriority w:val="99"/>
    <w:unhideWhenUsed/>
    <w:pPr>
      <w:spacing w:after="0" w:line="240" w:lineRule="auto"/>
    </w:pPr>
    <w:rPr>
      <w:sz w:val="20"/>
      <w:szCs w:val="20"/>
    </w:rPr>
  </w:style>
  <w:style w:type="character" w:styleId="1112" w:customStyle="1">
    <w:name w:val="Текст сноски Знак"/>
    <w:basedOn w:val="913"/>
    <w:link w:val="1111"/>
    <w:uiPriority w:val="99"/>
    <w:rPr>
      <w:sz w:val="20"/>
      <w:szCs w:val="20"/>
    </w:rPr>
  </w:style>
  <w:style w:type="character" w:styleId="1113">
    <w:name w:val="footnote reference"/>
    <w:uiPriority w:val="99"/>
    <w:rPr>
      <w:vertAlign w:val="superscript"/>
    </w:rPr>
  </w:style>
  <w:style w:type="paragraph" w:styleId="1114" w:customStyle="1">
    <w:name w:val="FR1"/>
    <w:pPr>
      <w:spacing w:before="1240" w:after="0" w:line="240" w:lineRule="auto"/>
      <w:widowControl w:val="off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table" w:styleId="1115" w:customStyle="1">
    <w:name w:val="Сетка таблицы1"/>
    <w:basedOn w:val="914"/>
    <w:next w:val="1108"/>
    <w:uiPriority w:val="3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116" w:customStyle="1">
    <w:name w:val="ConsPlusNormal"/>
    <w:link w:val="1152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117" w:customStyle="1">
    <w:name w:val="Style13"/>
    <w:basedOn w:val="903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18">
    <w:name w:val="line number"/>
    <w:basedOn w:val="913"/>
    <w:unhideWhenUsed/>
  </w:style>
  <w:style w:type="character" w:styleId="1119" w:customStyle="1">
    <w:name w:val="Normal Знак"/>
    <w:link w:val="1101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120">
    <w:name w:val="Body Text Indent"/>
    <w:basedOn w:val="903"/>
    <w:link w:val="1121"/>
    <w:unhideWhenUsed/>
    <w:pPr>
      <w:ind w:left="283"/>
      <w:spacing w:after="120"/>
    </w:pPr>
  </w:style>
  <w:style w:type="character" w:styleId="1121" w:customStyle="1">
    <w:name w:val="Основной текст с отступом Знак"/>
    <w:basedOn w:val="913"/>
    <w:link w:val="1120"/>
  </w:style>
  <w:style w:type="character" w:styleId="1122" w:customStyle="1">
    <w:name w:val="ConsNormal Знак"/>
    <w:link w:val="1123"/>
    <w:rPr>
      <w:rFonts w:ascii="Arial" w:hAnsi="Arial" w:eastAsia="Times New Roman" w:cs="Arial"/>
      <w:sz w:val="20"/>
      <w:szCs w:val="20"/>
      <w:lang w:eastAsia="ru-RU"/>
    </w:rPr>
  </w:style>
  <w:style w:type="paragraph" w:styleId="1123" w:customStyle="1">
    <w:name w:val="ConsNormal"/>
    <w:link w:val="1122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1124" w:customStyle="1">
    <w:name w:val="áû÷íûé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125" w:customStyle="1">
    <w:name w:val="Text"/>
    <w:basedOn w:val="903"/>
    <w:pPr>
      <w:spacing w:after="240" w:line="240" w:lineRule="auto"/>
    </w:pPr>
    <w:rPr>
      <w:rFonts w:ascii="Times New Roman" w:hAnsi="Times New Roman" w:eastAsia="Times New Roman" w:cs="Times New Roman"/>
      <w:sz w:val="24"/>
      <w:szCs w:val="20"/>
      <w:lang w:val="en-US"/>
    </w:rPr>
  </w:style>
  <w:style w:type="paragraph" w:styleId="1126" w:customStyle="1">
    <w:name w:val="ConsTitle"/>
    <w:pPr>
      <w:spacing w:after="0" w:line="240" w:lineRule="auto"/>
      <w:widowControl w:val="off"/>
    </w:pPr>
    <w:rPr>
      <w:rFonts w:ascii="Arial" w:hAnsi="Arial" w:eastAsia="Times New Roman" w:cs="Arial"/>
      <w:b/>
      <w:bCs/>
      <w:sz w:val="20"/>
      <w:szCs w:val="20"/>
      <w:lang w:eastAsia="ru-RU"/>
    </w:rPr>
  </w:style>
  <w:style w:type="paragraph" w:styleId="1127" w:customStyle="1">
    <w:name w:val="Style9"/>
    <w:basedOn w:val="903"/>
    <w:uiPriority w:val="99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28" w:customStyle="1">
    <w:name w:val="ConsPlusNonformat"/>
    <w:uiPriority w:val="99"/>
    <w:pPr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1129">
    <w:name w:val="List Bullet 2"/>
    <w:basedOn w:val="903"/>
    <w:pPr>
      <w:numPr>
        <w:ilvl w:val="0"/>
        <w:numId w:val="2"/>
      </w:numPr>
      <w:jc w:val="both"/>
      <w:spacing w:after="60" w:line="240" w:lineRule="auto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130" w:customStyle="1">
    <w:name w:val="Standard"/>
    <w:rPr>
      <w:rFonts w:ascii="Cambria" w:hAnsi="Cambria" w:eastAsia="Times New Roman" w:cs="Times New Roman"/>
      <w:lang w:eastAsia="ru-RU"/>
    </w:rPr>
  </w:style>
  <w:style w:type="paragraph" w:styleId="1131" w:customStyle="1">
    <w:name w:val="Table Contents"/>
    <w:basedOn w:val="1130"/>
    <w:pPr>
      <w:spacing w:after="0" w:line="240" w:lineRule="auto"/>
      <w:widowControl w:val="off"/>
      <w:suppressLineNumbers/>
    </w:pPr>
    <w:rPr>
      <w:rFonts w:ascii="Times New Roman" w:hAnsi="Times New Roman" w:eastAsia="andale sans ui" w:cs="Tahoma"/>
      <w:sz w:val="24"/>
      <w:szCs w:val="24"/>
      <w:lang w:val="de-DE" w:eastAsia="ja-JP" w:bidi="fa-IR"/>
    </w:rPr>
  </w:style>
  <w:style w:type="numbering" w:styleId="1132" w:customStyle="1">
    <w:name w:val="WWNum19"/>
    <w:basedOn w:val="915"/>
    <w:pPr>
      <w:numPr>
        <w:ilvl w:val="0"/>
        <w:numId w:val="3"/>
      </w:numPr>
    </w:pPr>
  </w:style>
  <w:style w:type="numbering" w:styleId="1133" w:customStyle="1">
    <w:name w:val="WWNum20"/>
    <w:basedOn w:val="915"/>
    <w:pPr>
      <w:numPr>
        <w:ilvl w:val="0"/>
        <w:numId w:val="4"/>
      </w:numPr>
    </w:pPr>
  </w:style>
  <w:style w:type="numbering" w:styleId="1134" w:customStyle="1">
    <w:name w:val="WWNum21"/>
    <w:basedOn w:val="915"/>
    <w:pPr>
      <w:numPr>
        <w:ilvl w:val="0"/>
        <w:numId w:val="5"/>
      </w:numPr>
    </w:pPr>
  </w:style>
  <w:style w:type="numbering" w:styleId="1135" w:customStyle="1">
    <w:name w:val="WWNum22"/>
    <w:basedOn w:val="915"/>
    <w:pPr>
      <w:numPr>
        <w:ilvl w:val="0"/>
        <w:numId w:val="6"/>
      </w:numPr>
    </w:pPr>
  </w:style>
  <w:style w:type="paragraph" w:styleId="1136" w:customStyle="1">
    <w:name w:val="Обычный2"/>
    <w:pPr>
      <w:ind w:firstLine="720"/>
      <w:jc w:val="both"/>
      <w:spacing w:after="0" w:line="240" w:lineRule="auto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1137" w:customStyle="1">
    <w:name w:val="Заголовок 1 Знак"/>
    <w:basedOn w:val="913"/>
    <w:link w:val="904"/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1138" w:customStyle="1">
    <w:name w:val="Абзац списка Знак"/>
    <w:link w:val="1071"/>
    <w:uiPriority w:val="34"/>
    <w:qFormat/>
  </w:style>
  <w:style w:type="paragraph" w:styleId="1139" w:customStyle="1">
    <w:name w:val="Основной текст6"/>
    <w:basedOn w:val="903"/>
    <w:pPr>
      <w:ind w:hanging="600"/>
      <w:jc w:val="center"/>
      <w:spacing w:before="180" w:after="600" w:line="0" w:lineRule="atLeast"/>
      <w:shd w:val="clear" w:color="auto" w:fill="ffffff"/>
      <w:widowControl w:val="off"/>
    </w:pPr>
    <w:rPr>
      <w:rFonts w:ascii="Times New Roman" w:hAnsi="Times New Roman" w:eastAsia="Times New Roman" w:cs="Times New Roman"/>
      <w:sz w:val="21"/>
      <w:szCs w:val="21"/>
      <w:lang w:eastAsia="ru-RU"/>
    </w:rPr>
  </w:style>
  <w:style w:type="character" w:styleId="1140" w:customStyle="1">
    <w:name w:val="Заголовок 4 Знак"/>
    <w:basedOn w:val="913"/>
    <w:link w:val="907"/>
    <w:rPr>
      <w:rFonts w:asciiTheme="majorHAnsi" w:hAnsiTheme="majorHAnsi" w:eastAsiaTheme="majorEastAsia" w:cstheme="majorBidi"/>
      <w:i/>
      <w:iCs/>
      <w:color w:val="365f91" w:themeColor="accent1" w:themeShade="BF"/>
    </w:rPr>
  </w:style>
  <w:style w:type="paragraph" w:styleId="1141">
    <w:name w:val="List Bullet"/>
    <w:basedOn w:val="903"/>
    <w:unhideWhenUsed/>
    <w:pPr>
      <w:numPr>
        <w:ilvl w:val="0"/>
        <w:numId w:val="8"/>
      </w:numPr>
      <w:contextualSpacing/>
    </w:pPr>
  </w:style>
  <w:style w:type="paragraph" w:styleId="1142" w:customStyle="1">
    <w:name w:val="Основной текст5"/>
    <w:basedOn w:val="903"/>
    <w:pPr>
      <w:jc w:val="both"/>
      <w:spacing w:before="660" w:after="300" w:line="0" w:lineRule="atLeast"/>
      <w:shd w:val="clear" w:color="auto" w:fill="ffffff"/>
      <w:widowControl w:val="off"/>
    </w:pPr>
    <w:rPr>
      <w:rFonts w:ascii="Times New Roman" w:hAnsi="Times New Roman" w:eastAsia="Times New Roman" w:cs="Times New Roman"/>
      <w:sz w:val="26"/>
      <w:szCs w:val="26"/>
    </w:rPr>
  </w:style>
  <w:style w:type="paragraph" w:styleId="1143" w:customStyle="1">
    <w:name w:val="Таблица шапка"/>
    <w:basedOn w:val="903"/>
    <w:pPr>
      <w:ind w:left="57" w:right="57"/>
      <w:keepNext/>
      <w:spacing w:before="40" w:after="40" w:line="240" w:lineRule="auto"/>
    </w:pPr>
    <w:rPr>
      <w:rFonts w:ascii="Times New Roman" w:hAnsi="Times New Roman" w:eastAsia="Times New Roman" w:cs="Times New Roman"/>
      <w:szCs w:val="20"/>
      <w:lang w:eastAsia="ru-RU"/>
    </w:rPr>
  </w:style>
  <w:style w:type="paragraph" w:styleId="1144" w:customStyle="1">
    <w:name w:val="Таблица текст"/>
    <w:basedOn w:val="903"/>
    <w:pPr>
      <w:ind w:left="57" w:right="57"/>
      <w:spacing w:before="40" w:after="40" w:line="240" w:lineRule="auto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145">
    <w:name w:val="List Continue 2"/>
    <w:basedOn w:val="903"/>
    <w:pPr>
      <w:ind w:left="-141" w:firstLine="709"/>
      <w:spacing w:after="120" w:line="240" w:lineRule="auto"/>
      <w:tabs>
        <w:tab w:val="num" w:pos="568" w:leader="none"/>
      </w:tabs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46">
    <w:name w:val="List Continue 3"/>
    <w:basedOn w:val="903"/>
    <w:pPr>
      <w:ind w:left="1432" w:hanging="864"/>
      <w:spacing w:after="120" w:line="240" w:lineRule="auto"/>
      <w:tabs>
        <w:tab w:val="num" w:pos="1432" w:leader="none"/>
      </w:tabs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47">
    <w:name w:val="annotation reference"/>
    <w:rPr>
      <w:sz w:val="16"/>
      <w:szCs w:val="16"/>
    </w:rPr>
  </w:style>
  <w:style w:type="paragraph" w:styleId="1148">
    <w:name w:val="annotation text"/>
    <w:basedOn w:val="903"/>
    <w:link w:val="1149"/>
    <w:rPr>
      <w:rFonts w:ascii="Calibri" w:hAnsi="Calibri" w:eastAsia="Times New Roman" w:cs="Times New Roman"/>
      <w:sz w:val="20"/>
      <w:szCs w:val="20"/>
    </w:rPr>
  </w:style>
  <w:style w:type="character" w:styleId="1149" w:customStyle="1">
    <w:name w:val="Текст примечания Знак"/>
    <w:basedOn w:val="913"/>
    <w:link w:val="1148"/>
    <w:rPr>
      <w:rFonts w:ascii="Calibri" w:hAnsi="Calibri" w:eastAsia="Times New Roman" w:cs="Times New Roman"/>
      <w:sz w:val="20"/>
      <w:szCs w:val="20"/>
    </w:rPr>
  </w:style>
  <w:style w:type="paragraph" w:styleId="1150" w:customStyle="1">
    <w:name w:val="Текст письма"/>
    <w:basedOn w:val="903"/>
    <w:link w:val="1151"/>
    <w:qFormat/>
    <w:pPr>
      <w:ind w:firstLine="567"/>
      <w:jc w:val="both"/>
      <w:spacing w:before="60" w:after="120" w:line="240" w:lineRule="auto"/>
    </w:pPr>
    <w:rPr>
      <w:rFonts w:ascii="Arial" w:hAnsi="Arial" w:cs="Arial"/>
      <w:sz w:val="28"/>
      <w:szCs w:val="24"/>
    </w:rPr>
  </w:style>
  <w:style w:type="character" w:styleId="1151" w:customStyle="1">
    <w:name w:val="Текст письма Знак"/>
    <w:basedOn w:val="913"/>
    <w:link w:val="1150"/>
    <w:rPr>
      <w:rFonts w:ascii="Arial" w:hAnsi="Arial" w:cs="Arial"/>
      <w:sz w:val="28"/>
      <w:szCs w:val="24"/>
    </w:rPr>
  </w:style>
  <w:style w:type="character" w:styleId="1152" w:customStyle="1">
    <w:name w:val="ConsPlusNormal Знак"/>
    <w:link w:val="1116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153" w:customStyle="1">
    <w:name w:val="Основной текст4"/>
    <w:basedOn w:val="903"/>
    <w:pPr>
      <w:spacing w:before="360" w:after="360" w:line="0" w:lineRule="atLeast"/>
      <w:shd w:val="clear" w:color="auto" w:fill="ffffff"/>
      <w:widowControl w:val="off"/>
    </w:pPr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1154" w:customStyle="1">
    <w:name w:val="Основной текст (2) + Не курсив"/>
    <w:rPr>
      <w:rFonts w:ascii="Times New Roman" w:hAnsi="Times New Roman" w:eastAsia="Times New Roman" w:cs="Times New Roman"/>
      <w:b w:val="0"/>
      <w:bCs w:val="0"/>
      <w:i/>
      <w:iCs/>
      <w:smallCaps w:val="0"/>
      <w:strike w:val="0"/>
      <w:color w:val="000000"/>
      <w:spacing w:val="0"/>
      <w:position w:val="0"/>
      <w:sz w:val="26"/>
      <w:szCs w:val="26"/>
      <w:u w:val="none"/>
      <w:shd w:val="clear" w:color="auto" w:fill="ffffff"/>
      <w:lang w:val="ru-RU"/>
    </w:rPr>
  </w:style>
  <w:style w:type="character" w:styleId="1155" w:customStyle="1">
    <w:name w:val="Заголовок 8 Знак"/>
    <w:basedOn w:val="913"/>
    <w:link w:val="911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1156">
    <w:name w:val="Body Text 2"/>
    <w:basedOn w:val="903"/>
    <w:link w:val="1157"/>
    <w:unhideWhenUsed/>
    <w:pPr>
      <w:spacing w:after="120" w:line="48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157" w:customStyle="1">
    <w:name w:val="Основной текст 2 Знак"/>
    <w:basedOn w:val="913"/>
    <w:link w:val="1156"/>
    <w:rPr>
      <w:rFonts w:ascii="Times New Roman" w:hAnsi="Times New Roman" w:eastAsia="Times New Roman" w:cs="Times New Roman"/>
      <w:sz w:val="24"/>
      <w:szCs w:val="24"/>
    </w:rPr>
  </w:style>
  <w:style w:type="character" w:styleId="1158">
    <w:name w:val="Placeholder Text"/>
    <w:uiPriority w:val="99"/>
    <w:semiHidden/>
    <w:rPr>
      <w:color w:val="808080"/>
    </w:rPr>
  </w:style>
  <w:style w:type="character" w:styleId="1159" w:customStyle="1">
    <w:name w:val="wmi-callto"/>
    <w:basedOn w:val="913"/>
  </w:style>
  <w:style w:type="character" w:styleId="1160" w:customStyle="1">
    <w:name w:val="Заголовок 6 Знак"/>
    <w:basedOn w:val="913"/>
    <w:link w:val="909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1161" w:customStyle="1">
    <w:name w:val="Заголовок 7 Знак"/>
    <w:basedOn w:val="913"/>
    <w:link w:val="910"/>
    <w:rPr>
      <w:rFonts w:ascii="Cambria" w:hAnsi="Cambria" w:eastAsia="Times New Roman" w:cs="Times New Roman"/>
      <w:i/>
      <w:iCs/>
      <w:color w:val="404040"/>
      <w:sz w:val="24"/>
      <w:szCs w:val="24"/>
    </w:rPr>
  </w:style>
  <w:style w:type="character" w:styleId="1162" w:customStyle="1">
    <w:name w:val="Заголовок 9 Знак"/>
    <w:basedOn w:val="913"/>
    <w:link w:val="912"/>
    <w:rPr>
      <w:rFonts w:ascii="Times New Roman" w:hAnsi="Times New Roman" w:eastAsia="Times New Roman" w:cs="Times New Roman"/>
      <w:b/>
      <w:i/>
      <w:sz w:val="16"/>
      <w:szCs w:val="20"/>
      <w:lang w:eastAsia="ar-SA"/>
    </w:rPr>
  </w:style>
  <w:style w:type="paragraph" w:styleId="1163" w:customStyle="1">
    <w:name w:val="Текст1"/>
    <w:basedOn w:val="903"/>
    <w:pPr>
      <w:spacing w:after="0" w:line="240" w:lineRule="auto"/>
    </w:pPr>
    <w:rPr>
      <w:rFonts w:ascii="Courier New" w:hAnsi="Courier New" w:eastAsia="Calibri" w:cs="Times New Roman"/>
      <w:sz w:val="20"/>
      <w:szCs w:val="20"/>
      <w:lang w:eastAsia="ru-RU"/>
    </w:rPr>
  </w:style>
  <w:style w:type="paragraph" w:styleId="1164" w:customStyle="1">
    <w:name w:val="Default Paragraph Font Para Char Char Знак Знак Знак Знак"/>
    <w:basedOn w:val="903"/>
    <w:pPr>
      <w:spacing w:after="160" w:line="240" w:lineRule="exact"/>
    </w:pPr>
    <w:rPr>
      <w:rFonts w:ascii="Verdana" w:hAnsi="Verdana" w:eastAsia="Calibri" w:cs="Verdana"/>
      <w:sz w:val="20"/>
      <w:szCs w:val="20"/>
      <w:lang w:val="en-US"/>
    </w:rPr>
  </w:style>
  <w:style w:type="paragraph" w:styleId="1165" w:customStyle="1">
    <w:name w:val="Абзац списка1"/>
    <w:basedOn w:val="903"/>
    <w:qFormat/>
    <w:pPr>
      <w:ind w:left="720"/>
    </w:pPr>
    <w:rPr>
      <w:rFonts w:ascii="Calibri" w:hAnsi="Calibri" w:eastAsia="Times New Roman" w:cs="Times New Roman"/>
    </w:rPr>
  </w:style>
  <w:style w:type="paragraph" w:styleId="1166" w:customStyle="1">
    <w:name w:val="Plain Text1"/>
    <w:basedOn w:val="903"/>
    <w:pPr>
      <w:spacing w:after="0" w:line="240" w:lineRule="auto"/>
    </w:pPr>
    <w:rPr>
      <w:rFonts w:ascii="Courier New" w:hAnsi="Courier New" w:eastAsia="Calibri" w:cs="Times New Roman"/>
      <w:sz w:val="20"/>
      <w:szCs w:val="20"/>
      <w:lang w:eastAsia="ru-RU"/>
    </w:rPr>
  </w:style>
  <w:style w:type="paragraph" w:styleId="1167" w:customStyle="1">
    <w:name w:val="u"/>
    <w:basedOn w:val="90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68" w:customStyle="1">
    <w:name w:val="Iau?iue"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169" w:customStyle="1">
    <w:name w:val="Iniiaiie oaeno"/>
    <w:basedOn w:val="1168"/>
    <w:pPr>
      <w:jc w:val="center"/>
    </w:pPr>
    <w:rPr>
      <w:sz w:val="24"/>
      <w:szCs w:val="24"/>
    </w:rPr>
  </w:style>
  <w:style w:type="paragraph" w:styleId="1170" w:customStyle="1">
    <w:name w:val="Основной текст с отступом 31"/>
    <w:basedOn w:val="903"/>
    <w:pPr>
      <w:ind w:firstLine="709"/>
      <w:jc w:val="both"/>
      <w:spacing w:after="0" w:line="240" w:lineRule="auto"/>
    </w:pPr>
    <w:rPr>
      <w:rFonts w:ascii="Times New Roman" w:hAnsi="Times New Roman" w:eastAsia="Times New Roman" w:cs="Times New Roman"/>
      <w:b/>
      <w:bCs/>
      <w:sz w:val="26"/>
      <w:szCs w:val="20"/>
      <w:lang w:eastAsia="ar-SA"/>
    </w:rPr>
  </w:style>
  <w:style w:type="paragraph" w:styleId="1171" w:customStyle="1">
    <w:name w:val="Пункт"/>
    <w:basedOn w:val="903"/>
    <w:pPr>
      <w:jc w:val="both"/>
      <w:spacing w:after="0" w:line="360" w:lineRule="auto"/>
      <w:tabs>
        <w:tab w:val="num" w:pos="1134" w:leader="none"/>
      </w:tabs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172" w:customStyle="1">
    <w:name w:val="Подпункт"/>
    <w:basedOn w:val="1171"/>
    <w:pPr>
      <w:ind w:left="360"/>
      <w:tabs>
        <w:tab w:val="clear" w:pos="1134" w:leader="none"/>
        <w:tab w:val="num" w:pos="1494" w:leader="none"/>
      </w:tabs>
    </w:pPr>
  </w:style>
  <w:style w:type="paragraph" w:styleId="1173" w:customStyle="1">
    <w:name w:val="Подпподпункт"/>
    <w:basedOn w:val="903"/>
    <w:pPr>
      <w:ind w:left="1701" w:hanging="567"/>
      <w:jc w:val="both"/>
      <w:spacing w:after="0" w:line="360" w:lineRule="auto"/>
      <w:tabs>
        <w:tab w:val="num" w:pos="1701" w:leader="none"/>
      </w:tabs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174" w:customStyle="1">
    <w:name w:val="Стиль3"/>
    <w:basedOn w:val="1175"/>
    <w:pPr>
      <w:ind w:left="1080"/>
      <w:jc w:val="both"/>
      <w:spacing w:after="0" w:line="240" w:lineRule="auto"/>
      <w:widowControl w:val="off"/>
      <w:tabs>
        <w:tab w:val="num" w:pos="1307" w:leader="none"/>
      </w:tabs>
    </w:pPr>
    <w:rPr>
      <w:rFonts w:ascii="Times New Roman" w:hAnsi="Times New Roman"/>
      <w:sz w:val="24"/>
      <w:szCs w:val="20"/>
      <w:lang w:eastAsia="ru-RU"/>
    </w:rPr>
  </w:style>
  <w:style w:type="paragraph" w:styleId="1175">
    <w:name w:val="Body Text Indent 2"/>
    <w:basedOn w:val="903"/>
    <w:link w:val="1176"/>
    <w:pPr>
      <w:ind w:left="283"/>
      <w:spacing w:after="120" w:line="480" w:lineRule="auto"/>
    </w:pPr>
    <w:rPr>
      <w:rFonts w:ascii="Calibri" w:hAnsi="Calibri" w:eastAsia="Times New Roman" w:cs="Times New Roman"/>
    </w:rPr>
  </w:style>
  <w:style w:type="character" w:styleId="1176" w:customStyle="1">
    <w:name w:val="Основной текст с отступом 2 Знак"/>
    <w:basedOn w:val="913"/>
    <w:link w:val="1175"/>
    <w:rPr>
      <w:rFonts w:ascii="Calibri" w:hAnsi="Calibri" w:eastAsia="Times New Roman" w:cs="Times New Roman"/>
    </w:rPr>
  </w:style>
  <w:style w:type="paragraph" w:styleId="1177">
    <w:name w:val="Normal (Web)"/>
    <w:basedOn w:val="903"/>
    <w:link w:val="1178"/>
    <w:uiPriority w:val="99"/>
    <w:unhideWhenUsed/>
    <w:qFormat/>
    <w:pPr>
      <w:ind w:firstLine="567"/>
      <w:jc w:val="both"/>
      <w:spacing w:after="0" w:line="240" w:lineRule="auto"/>
    </w:pPr>
    <w:rPr>
      <w:rFonts w:ascii="Times New Roman" w:hAnsi="Times New Roman" w:eastAsia="Calibri" w:cs="Times New Roman"/>
      <w:sz w:val="24"/>
      <w:szCs w:val="24"/>
    </w:rPr>
  </w:style>
  <w:style w:type="character" w:styleId="1178" w:customStyle="1">
    <w:name w:val="Обычный (Интернет) Знак"/>
    <w:link w:val="1177"/>
    <w:rPr>
      <w:rFonts w:ascii="Times New Roman" w:hAnsi="Times New Roman" w:eastAsia="Calibri" w:cs="Times New Roman"/>
      <w:sz w:val="24"/>
      <w:szCs w:val="24"/>
    </w:rPr>
  </w:style>
  <w:style w:type="paragraph" w:styleId="1179" w:customStyle="1">
    <w:name w:val="03osnovnoytexttabl"/>
    <w:basedOn w:val="903"/>
    <w:pPr>
      <w:spacing w:before="120" w:after="0" w:line="320" w:lineRule="atLeast"/>
    </w:pPr>
    <w:rPr>
      <w:rFonts w:ascii="GaramondC" w:hAnsi="GaramondC" w:eastAsia="Calibri" w:cs="Times New Roman"/>
      <w:color w:val="000000"/>
      <w:sz w:val="20"/>
      <w:szCs w:val="20"/>
      <w:lang w:eastAsia="ru-RU"/>
    </w:rPr>
  </w:style>
  <w:style w:type="paragraph" w:styleId="1180">
    <w:name w:val="annotation subject"/>
    <w:basedOn w:val="1148"/>
    <w:next w:val="1148"/>
    <w:link w:val="1181"/>
    <w:rPr>
      <w:b/>
      <w:bCs/>
    </w:rPr>
  </w:style>
  <w:style w:type="character" w:styleId="1181" w:customStyle="1">
    <w:name w:val="Тема примечания Знак"/>
    <w:basedOn w:val="1149"/>
    <w:link w:val="1180"/>
    <w:rPr>
      <w:rFonts w:ascii="Calibri" w:hAnsi="Calibri" w:eastAsia="Times New Roman" w:cs="Times New Roman"/>
      <w:b/>
      <w:bCs/>
      <w:sz w:val="20"/>
      <w:szCs w:val="20"/>
    </w:rPr>
  </w:style>
  <w:style w:type="paragraph" w:styleId="1182">
    <w:name w:val="Body Text Indent 3"/>
    <w:basedOn w:val="903"/>
    <w:link w:val="1183"/>
    <w:pPr>
      <w:ind w:left="283"/>
      <w:spacing w:after="120" w:line="240" w:lineRule="auto"/>
    </w:pPr>
    <w:rPr>
      <w:rFonts w:ascii="EuropeExt08" w:hAnsi="EuropeExt08" w:eastAsia="Times New Roman" w:cs="Times New Roman"/>
      <w:sz w:val="16"/>
      <w:szCs w:val="16"/>
    </w:rPr>
  </w:style>
  <w:style w:type="character" w:styleId="1183" w:customStyle="1">
    <w:name w:val="Основной текст с отступом 3 Знак"/>
    <w:basedOn w:val="913"/>
    <w:link w:val="1182"/>
    <w:rPr>
      <w:rFonts w:ascii="EuropeExt08" w:hAnsi="EuropeExt08" w:eastAsia="Times New Roman" w:cs="Times New Roman"/>
      <w:sz w:val="16"/>
      <w:szCs w:val="16"/>
    </w:rPr>
  </w:style>
  <w:style w:type="paragraph" w:styleId="1184" w:customStyle="1">
    <w:name w:val="Таблица ссылок1"/>
    <w:basedOn w:val="903"/>
    <w:pPr>
      <w:spacing w:after="240" w:line="240" w:lineRule="auto"/>
      <w:tabs>
        <w:tab w:val="right" w:pos="8640" w:leader="dot"/>
      </w:tabs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1185" w:customStyle="1">
    <w:name w:val="WW8Num2z0"/>
    <w:rPr>
      <w:rFonts w:ascii="Times New Roman" w:hAnsi="Times New Roman"/>
      <w:b w:val="0"/>
      <w:i w:val="0"/>
      <w:sz w:val="28"/>
      <w:u w:val="none"/>
    </w:rPr>
  </w:style>
  <w:style w:type="character" w:styleId="1186" w:customStyle="1">
    <w:name w:val="WW8Num10z0"/>
    <w:rPr>
      <w:rFonts w:ascii="Symbol" w:hAnsi="Symbol" w:cs="OpenSymbol"/>
    </w:rPr>
  </w:style>
  <w:style w:type="character" w:styleId="1187" w:customStyle="1">
    <w:name w:val="Absatz-Standardschriftart"/>
  </w:style>
  <w:style w:type="character" w:styleId="1188" w:customStyle="1">
    <w:name w:val="WW-Absatz-Standardschriftart"/>
  </w:style>
  <w:style w:type="character" w:styleId="1189" w:customStyle="1">
    <w:name w:val="WW-Absatz-Standardschriftart1"/>
  </w:style>
  <w:style w:type="character" w:styleId="1190" w:customStyle="1">
    <w:name w:val="WW-Absatz-Standardschriftart11"/>
  </w:style>
  <w:style w:type="character" w:styleId="1191" w:customStyle="1">
    <w:name w:val="WW-Absatz-Standardschriftart111"/>
  </w:style>
  <w:style w:type="character" w:styleId="1192" w:customStyle="1">
    <w:name w:val="WW-Absatz-Standardschriftart1111"/>
  </w:style>
  <w:style w:type="character" w:styleId="1193" w:customStyle="1">
    <w:name w:val="WW-Absatz-Standardschriftart11111"/>
  </w:style>
  <w:style w:type="character" w:styleId="1194" w:customStyle="1">
    <w:name w:val="WW-Absatz-Standardschriftart111111"/>
  </w:style>
  <w:style w:type="character" w:styleId="1195" w:customStyle="1">
    <w:name w:val="WW-Absatz-Standardschriftart1111111"/>
  </w:style>
  <w:style w:type="character" w:styleId="1196" w:customStyle="1">
    <w:name w:val="WW-Absatz-Standardschriftart11111111"/>
  </w:style>
  <w:style w:type="character" w:styleId="1197" w:customStyle="1">
    <w:name w:val="WW-Absatz-Standardschriftart111111111"/>
  </w:style>
  <w:style w:type="character" w:styleId="1198" w:customStyle="1">
    <w:name w:val="WW-Absatz-Standardschriftart1111111111"/>
  </w:style>
  <w:style w:type="character" w:styleId="1199" w:customStyle="1">
    <w:name w:val="WW-Absatz-Standardschriftart11111111111"/>
  </w:style>
  <w:style w:type="character" w:styleId="1200" w:customStyle="1">
    <w:name w:val="WW-Absatz-Standardschriftart111111111111"/>
  </w:style>
  <w:style w:type="character" w:styleId="1201" w:customStyle="1">
    <w:name w:val="WW-Absatz-Standardschriftart1111111111111"/>
  </w:style>
  <w:style w:type="character" w:styleId="1202" w:customStyle="1">
    <w:name w:val="WW-Absatz-Standardschriftart11111111111111"/>
  </w:style>
  <w:style w:type="character" w:styleId="1203" w:customStyle="1">
    <w:name w:val="WW-Absatz-Standardschriftart111111111111111"/>
  </w:style>
  <w:style w:type="character" w:styleId="1204" w:customStyle="1">
    <w:name w:val="WW-Absatz-Standardschriftart1111111111111111"/>
  </w:style>
  <w:style w:type="character" w:styleId="1205" w:customStyle="1">
    <w:name w:val="WW-Absatz-Standardschriftart11111111111111111"/>
  </w:style>
  <w:style w:type="character" w:styleId="1206" w:customStyle="1">
    <w:name w:val="WW-Absatz-Standardschriftart111111111111111111"/>
  </w:style>
  <w:style w:type="character" w:styleId="1207" w:customStyle="1">
    <w:name w:val="WW-Absatz-Standardschriftart1111111111111111111"/>
  </w:style>
  <w:style w:type="character" w:styleId="1208" w:customStyle="1">
    <w:name w:val="WW8Num5z0"/>
    <w:rPr>
      <w:rFonts w:ascii="Times New Roman" w:hAnsi="Times New Roman"/>
      <w:b w:val="0"/>
      <w:i w:val="0"/>
      <w:sz w:val="28"/>
      <w:u w:val="none"/>
    </w:rPr>
  </w:style>
  <w:style w:type="character" w:styleId="1209" w:customStyle="1">
    <w:name w:val="WW8Num7z0"/>
    <w:rPr>
      <w:rFonts w:ascii="Times New Roman" w:hAnsi="Times New Roman"/>
      <w:b w:val="0"/>
      <w:i w:val="0"/>
      <w:sz w:val="28"/>
      <w:u w:val="none"/>
    </w:rPr>
  </w:style>
  <w:style w:type="character" w:styleId="1210" w:customStyle="1">
    <w:name w:val="WW8Num9z1"/>
    <w:rPr>
      <w:i w:val="0"/>
    </w:rPr>
  </w:style>
  <w:style w:type="character" w:styleId="1211" w:customStyle="1">
    <w:name w:val="WW8Num11z0"/>
    <w:rPr>
      <w:rFonts w:ascii="Times New Roman" w:hAnsi="Times New Roman"/>
      <w:b w:val="0"/>
      <w:i w:val="0"/>
      <w:sz w:val="28"/>
      <w:u w:val="none"/>
    </w:rPr>
  </w:style>
  <w:style w:type="character" w:styleId="1212" w:customStyle="1">
    <w:name w:val="WW8Num12z0"/>
    <w:rPr>
      <w:rFonts w:ascii="Times New Roman" w:hAnsi="Times New Roman"/>
      <w:b w:val="0"/>
      <w:i w:val="0"/>
      <w:sz w:val="28"/>
      <w:u w:val="none"/>
    </w:rPr>
  </w:style>
  <w:style w:type="character" w:styleId="1213" w:customStyle="1">
    <w:name w:val="WW8Num13z0"/>
    <w:rPr>
      <w:rFonts w:ascii="Times New Roman" w:hAnsi="Times New Roman" w:eastAsia="Times New Roman" w:cs="Times New Roman"/>
    </w:rPr>
  </w:style>
  <w:style w:type="character" w:styleId="1214" w:customStyle="1">
    <w:name w:val="WW8Num13z1"/>
    <w:rPr>
      <w:rFonts w:ascii="Courier New" w:hAnsi="Courier New"/>
    </w:rPr>
  </w:style>
  <w:style w:type="character" w:styleId="1215" w:customStyle="1">
    <w:name w:val="WW8Num13z2"/>
    <w:rPr>
      <w:rFonts w:ascii="Wingdings" w:hAnsi="Wingdings"/>
    </w:rPr>
  </w:style>
  <w:style w:type="character" w:styleId="1216" w:customStyle="1">
    <w:name w:val="WW8Num13z3"/>
    <w:rPr>
      <w:rFonts w:ascii="Symbol" w:hAnsi="Symbol"/>
    </w:rPr>
  </w:style>
  <w:style w:type="character" w:styleId="1217" w:customStyle="1">
    <w:name w:val="WW8Num14z0"/>
    <w:rPr>
      <w:rFonts w:ascii="Times New Roman" w:hAnsi="Times New Roman"/>
      <w:b w:val="0"/>
      <w:i w:val="0"/>
      <w:sz w:val="28"/>
      <w:u w:val="none"/>
    </w:rPr>
  </w:style>
  <w:style w:type="character" w:styleId="1218" w:customStyle="1">
    <w:name w:val="WW8Num15z0"/>
    <w:rPr>
      <w:rFonts w:ascii="Times New Roman" w:hAnsi="Times New Roman"/>
      <w:b w:val="0"/>
      <w:i w:val="0"/>
      <w:sz w:val="28"/>
      <w:u w:val="none"/>
    </w:rPr>
  </w:style>
  <w:style w:type="character" w:styleId="1219" w:customStyle="1">
    <w:name w:val="WW8Num16z0"/>
    <w:rPr>
      <w:rFonts w:ascii="Times New Roman" w:hAnsi="Times New Roman"/>
      <w:b w:val="0"/>
      <w:i w:val="0"/>
      <w:sz w:val="28"/>
      <w:u w:val="none"/>
    </w:rPr>
  </w:style>
  <w:style w:type="character" w:styleId="1220" w:customStyle="1">
    <w:name w:val="WW8Num18z0"/>
    <w:rPr>
      <w:rFonts w:ascii="Times New Roman" w:hAnsi="Times New Roman"/>
      <w:b w:val="0"/>
      <w:i w:val="0"/>
      <w:sz w:val="28"/>
      <w:u w:val="none"/>
    </w:rPr>
  </w:style>
  <w:style w:type="character" w:styleId="1221" w:customStyle="1">
    <w:name w:val="WW8Num19z0"/>
    <w:rPr>
      <w:rFonts w:ascii="Times New Roman" w:hAnsi="Times New Roman"/>
      <w:b w:val="0"/>
      <w:i w:val="0"/>
      <w:sz w:val="28"/>
      <w:u w:val="none"/>
    </w:rPr>
  </w:style>
  <w:style w:type="character" w:styleId="1222" w:customStyle="1">
    <w:name w:val="WW8NumSt1z0"/>
    <w:rPr>
      <w:rFonts w:ascii="Wingdings" w:hAnsi="Wingdings"/>
      <w:b w:val="0"/>
      <w:i w:val="0"/>
      <w:sz w:val="28"/>
      <w:u w:val="none"/>
    </w:rPr>
  </w:style>
  <w:style w:type="character" w:styleId="1223" w:customStyle="1">
    <w:name w:val="WW8NumSt4z0"/>
    <w:rPr>
      <w:rFonts w:ascii="Times New Roman" w:hAnsi="Times New Roman"/>
      <w:b w:val="0"/>
      <w:i w:val="0"/>
      <w:sz w:val="28"/>
      <w:u w:val="none"/>
    </w:rPr>
  </w:style>
  <w:style w:type="character" w:styleId="1224" w:customStyle="1">
    <w:name w:val="WW8NumSt6z0"/>
    <w:rPr>
      <w:rFonts w:ascii="Times New Roman" w:hAnsi="Times New Roman"/>
      <w:b w:val="0"/>
      <w:i w:val="0"/>
      <w:sz w:val="28"/>
      <w:u w:val="none"/>
    </w:rPr>
  </w:style>
  <w:style w:type="character" w:styleId="1225" w:customStyle="1">
    <w:name w:val="WW8NumSt18z0"/>
    <w:rPr>
      <w:rFonts w:ascii="Wingdings" w:hAnsi="Wingdings"/>
      <w:b w:val="0"/>
      <w:i w:val="0"/>
      <w:strike w:val="0"/>
      <w:sz w:val="28"/>
      <w:u w:val="none"/>
    </w:rPr>
  </w:style>
  <w:style w:type="character" w:styleId="1226" w:customStyle="1">
    <w:name w:val="WW8NumSt20z0"/>
    <w:rPr>
      <w:i w:val="0"/>
    </w:rPr>
  </w:style>
  <w:style w:type="character" w:styleId="1227" w:customStyle="1">
    <w:name w:val="Основной шрифт абзаца1"/>
  </w:style>
  <w:style w:type="character" w:styleId="1228" w:customStyle="1">
    <w:name w:val="Знак примечания1"/>
    <w:rPr>
      <w:rFonts w:ascii="Times New Roman" w:hAnsi="Times New Roman"/>
    </w:rPr>
  </w:style>
  <w:style w:type="character" w:styleId="1229" w:customStyle="1">
    <w:name w:val="Сведения"/>
    <w:rPr>
      <w:rFonts w:ascii="Arial" w:hAnsi="Arial"/>
      <w:b/>
      <w:spacing w:val="0"/>
      <w:sz w:val="18"/>
    </w:rPr>
  </w:style>
  <w:style w:type="character" w:styleId="1230" w:customStyle="1">
    <w:name w:val="Символ сноски"/>
    <w:rPr>
      <w:sz w:val="18"/>
      <w:vertAlign w:val="superscript"/>
    </w:rPr>
  </w:style>
  <w:style w:type="character" w:styleId="1231" w:customStyle="1">
    <w:name w:val="Введение"/>
    <w:rPr>
      <w:caps/>
      <w:sz w:val="22"/>
    </w:rPr>
  </w:style>
  <w:style w:type="character" w:styleId="1232">
    <w:name w:val="page number"/>
    <w:rPr>
      <w:b/>
    </w:rPr>
  </w:style>
  <w:style w:type="character" w:styleId="1233" w:customStyle="1">
    <w:name w:val="Верхний индекс"/>
    <w:rPr>
      <w:vertAlign w:val="superscript"/>
    </w:rPr>
  </w:style>
  <w:style w:type="character" w:styleId="1234" w:customStyle="1">
    <w:name w:val="Символ нумерации"/>
  </w:style>
  <w:style w:type="character" w:styleId="1235" w:customStyle="1">
    <w:name w:val="Маркеры списка"/>
    <w:rPr>
      <w:rFonts w:ascii="OpenSymbol" w:hAnsi="OpenSymbol" w:eastAsia="OpenSymbol" w:cs="OpenSymbol"/>
    </w:rPr>
  </w:style>
  <w:style w:type="paragraph" w:styleId="1236" w:customStyle="1">
    <w:name w:val="Заголовок1"/>
    <w:basedOn w:val="903"/>
    <w:next w:val="1109"/>
    <w:pPr>
      <w:keepNext/>
      <w:spacing w:before="240" w:after="120" w:line="240" w:lineRule="auto"/>
    </w:pPr>
    <w:rPr>
      <w:rFonts w:ascii="Arial" w:hAnsi="Arial" w:eastAsia="Lucida Sans Unicode" w:cs="Tahoma"/>
      <w:sz w:val="28"/>
      <w:szCs w:val="28"/>
      <w:lang w:eastAsia="ar-SA"/>
    </w:rPr>
  </w:style>
  <w:style w:type="paragraph" w:styleId="1237">
    <w:name w:val="List"/>
    <w:basedOn w:val="1109"/>
    <w:pPr>
      <w:ind w:left="360" w:firstLine="0"/>
      <w:spacing w:after="240" w:line="240" w:lineRule="auto"/>
      <w:tabs>
        <w:tab w:val="left" w:pos="5760" w:leader="none"/>
      </w:tabs>
    </w:pPr>
    <w:rPr>
      <w:sz w:val="24"/>
      <w:lang w:eastAsia="ar-SA"/>
    </w:rPr>
  </w:style>
  <w:style w:type="paragraph" w:styleId="1238" w:customStyle="1">
    <w:name w:val="Название1"/>
    <w:basedOn w:val="903"/>
    <w:pPr>
      <w:spacing w:before="120" w:after="120" w:line="240" w:lineRule="auto"/>
      <w:suppressLineNumbers/>
    </w:pPr>
    <w:rPr>
      <w:rFonts w:ascii="Times New Roman" w:hAnsi="Times New Roman" w:eastAsia="Times New Roman" w:cs="Tahoma"/>
      <w:i/>
      <w:iCs/>
      <w:sz w:val="24"/>
      <w:szCs w:val="24"/>
      <w:lang w:eastAsia="ar-SA"/>
    </w:rPr>
  </w:style>
  <w:style w:type="paragraph" w:styleId="1239" w:customStyle="1">
    <w:name w:val="Указатель1"/>
    <w:basedOn w:val="903"/>
    <w:pPr>
      <w:spacing w:after="0" w:line="240" w:lineRule="auto"/>
      <w:suppressLineNumbers/>
    </w:pPr>
    <w:rPr>
      <w:rFonts w:ascii="Times New Roman" w:hAnsi="Times New Roman" w:eastAsia="Times New Roman" w:cs="Tahoma"/>
      <w:sz w:val="16"/>
      <w:szCs w:val="20"/>
      <w:lang w:eastAsia="ar-SA"/>
    </w:rPr>
  </w:style>
  <w:style w:type="paragraph" w:styleId="1240" w:customStyle="1">
    <w:name w:val="Текст примечания1"/>
    <w:basedOn w:val="903"/>
    <w:pPr>
      <w:ind w:left="187" w:hanging="187"/>
      <w:spacing w:after="120" w:line="220" w:lineRule="exact"/>
      <w:tabs>
        <w:tab w:val="left" w:pos="2805" w:leader="none"/>
      </w:tabs>
    </w:pPr>
    <w:rPr>
      <w:rFonts w:ascii="Times New Roman" w:hAnsi="Times New Roman" w:eastAsia="Times New Roman" w:cs="Times New Roman"/>
      <w:sz w:val="16"/>
      <w:szCs w:val="20"/>
      <w:lang w:eastAsia="ar-SA"/>
    </w:rPr>
  </w:style>
  <w:style w:type="paragraph" w:styleId="1241" w:customStyle="1">
    <w:name w:val="Цитата1"/>
    <w:basedOn w:val="903"/>
    <w:next w:val="1109"/>
    <w:pPr>
      <w:ind w:left="600" w:right="600"/>
      <w:jc w:val="both"/>
      <w:spacing w:after="240" w:line="240" w:lineRule="auto"/>
      <w:shd w:val="clear" w:color="auto" w:fill="f2f2f2"/>
      <w:pBdr>
        <w:top w:val="single" w:color="FFFFFF" w:sz="4" w:space="12"/>
        <w:left w:val="single" w:color="FFFFFF" w:sz="4" w:space="12"/>
        <w:bottom w:val="single" w:color="FFFFFF" w:sz="4" w:space="12"/>
        <w:right w:val="single" w:color="FFFFFF" w:sz="4" w:space="12"/>
      </w:pBdr>
    </w:pPr>
    <w:rPr>
      <w:rFonts w:ascii="Times New Roman" w:hAnsi="Times New Roman" w:eastAsia="Times New Roman" w:cs="Times New Roman"/>
      <w:sz w:val="24"/>
      <w:szCs w:val="20"/>
      <w:lang w:eastAsia="ar-SA"/>
    </w:rPr>
  </w:style>
  <w:style w:type="paragraph" w:styleId="1242" w:customStyle="1">
    <w:name w:val="ЦитатаПерв"/>
    <w:basedOn w:val="903"/>
    <w:next w:val="1241"/>
    <w:pPr>
      <w:ind w:left="480" w:right="480" w:firstLine="60"/>
      <w:keepLines/>
      <w:spacing w:after="0" w:line="240" w:lineRule="auto"/>
      <w:shd w:val="clear" w:color="auto" w:fill="e5e5e5"/>
      <w:pBdr>
        <w:top w:val="single" w:color="FFFFFF" w:sz="4" w:space="6"/>
        <w:left w:val="single" w:color="FFFFFF" w:sz="4" w:space="6"/>
        <w:right w:val="single" w:color="FFFFFF" w:sz="4" w:space="6"/>
      </w:pBdr>
    </w:pPr>
    <w:rPr>
      <w:rFonts w:ascii="Arial" w:hAnsi="Arial" w:eastAsia="Times New Roman" w:cs="Times New Roman"/>
      <w:b/>
      <w:position w:val="21"/>
      <w:sz w:val="21"/>
      <w:szCs w:val="20"/>
      <w:lang w:eastAsia="ar-SA"/>
    </w:rPr>
  </w:style>
  <w:style w:type="paragraph" w:styleId="1243" w:customStyle="1">
    <w:name w:val="ОсновнойНеразрыв"/>
    <w:basedOn w:val="1109"/>
    <w:next w:val="1109"/>
    <w:pPr>
      <w:ind w:firstLine="0"/>
      <w:keepNext/>
      <w:spacing w:after="240" w:line="240" w:lineRule="auto"/>
    </w:pPr>
    <w:rPr>
      <w:sz w:val="24"/>
      <w:lang w:eastAsia="ar-SA"/>
    </w:rPr>
  </w:style>
  <w:style w:type="paragraph" w:styleId="1244" w:customStyle="1">
    <w:name w:val="Название объекта1"/>
    <w:basedOn w:val="903"/>
    <w:next w:val="1109"/>
    <w:pPr>
      <w:spacing w:after="240" w:line="240" w:lineRule="auto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1245" w:customStyle="1">
    <w:name w:val="Название главы"/>
    <w:basedOn w:val="903"/>
    <w:next w:val="1109"/>
    <w:pPr>
      <w:keepNext/>
      <w:spacing w:after="240" w:line="240" w:lineRule="auto"/>
      <w:pBdr>
        <w:bottom w:val="single" w:color="000000" w:sz="4" w:space="3"/>
      </w:pBdr>
    </w:pPr>
    <w:rPr>
      <w:rFonts w:ascii="Arial" w:hAnsi="Arial" w:eastAsia="Times New Roman" w:cs="Times New Roman"/>
      <w:caps/>
      <w:spacing w:val="70"/>
      <w:sz w:val="16"/>
      <w:szCs w:val="20"/>
      <w:lang w:eastAsia="ar-SA"/>
    </w:rPr>
  </w:style>
  <w:style w:type="paragraph" w:styleId="1246" w:customStyle="1">
    <w:name w:val="Заголовок главы 2"/>
    <w:basedOn w:val="903"/>
    <w:next w:val="1109"/>
    <w:pPr>
      <w:ind w:right="1800"/>
      <w:keepLines/>
      <w:keepNext/>
      <w:spacing w:after="360" w:line="240" w:lineRule="atLeast"/>
    </w:pPr>
    <w:rPr>
      <w:rFonts w:ascii="Times New Roman" w:hAnsi="Times New Roman" w:eastAsia="Times New Roman" w:cs="Times New Roman"/>
      <w:i/>
      <w:sz w:val="28"/>
      <w:szCs w:val="20"/>
      <w:lang w:eastAsia="ar-SA"/>
    </w:rPr>
  </w:style>
  <w:style w:type="paragraph" w:styleId="1247" w:customStyle="1">
    <w:name w:val="Заголовок главы"/>
    <w:basedOn w:val="903"/>
    <w:next w:val="1246"/>
    <w:pPr>
      <w:ind w:right="2160"/>
      <w:keepLines/>
      <w:keepNext/>
      <w:spacing w:before="480" w:after="360" w:line="440" w:lineRule="atLeast"/>
    </w:pPr>
    <w:rPr>
      <w:rFonts w:ascii="Arial" w:hAnsi="Arial" w:eastAsia="Times New Roman" w:cs="Times New Roman"/>
      <w:color w:val="808080"/>
      <w:sz w:val="44"/>
      <w:szCs w:val="20"/>
      <w:lang w:eastAsia="ar-SA"/>
    </w:rPr>
  </w:style>
  <w:style w:type="paragraph" w:styleId="1248" w:customStyle="1">
    <w:name w:val="НижКолонтитулЧет"/>
    <w:basedOn w:val="1106"/>
    <w:pPr>
      <w:jc w:val="center"/>
      <w:keepLines/>
      <w:tabs>
        <w:tab w:val="center" w:pos="4320" w:leader="none"/>
        <w:tab w:val="clear" w:pos="4677" w:leader="none"/>
        <w:tab w:val="right" w:pos="8640" w:leader="none"/>
        <w:tab w:val="clear" w:pos="9355" w:leader="none"/>
      </w:tabs>
      <w:pBdr>
        <w:top w:val="single" w:color="000000" w:sz="4" w:space="3"/>
      </w:pBdr>
    </w:pPr>
    <w:rPr>
      <w:rFonts w:ascii="Arial" w:hAnsi="Arial" w:eastAsia="Times New Roman" w:cs="Times New Roman"/>
      <w:sz w:val="20"/>
      <w:szCs w:val="20"/>
      <w:lang w:eastAsia="ar-SA"/>
    </w:rPr>
  </w:style>
  <w:style w:type="paragraph" w:styleId="1249" w:customStyle="1">
    <w:name w:val="НижКолонтитулПерв"/>
    <w:basedOn w:val="1106"/>
    <w:pPr>
      <w:jc w:val="center"/>
      <w:keepLines/>
      <w:tabs>
        <w:tab w:val="center" w:pos="4320" w:leader="none"/>
        <w:tab w:val="clear" w:pos="4677" w:leader="none"/>
        <w:tab w:val="right" w:pos="8640" w:leader="none"/>
        <w:tab w:val="clear" w:pos="9355" w:leader="none"/>
      </w:tabs>
    </w:pPr>
    <w:rPr>
      <w:rFonts w:ascii="Arial" w:hAnsi="Arial" w:eastAsia="Times New Roman" w:cs="Times New Roman"/>
      <w:sz w:val="20"/>
      <w:szCs w:val="20"/>
      <w:lang w:eastAsia="ar-SA"/>
    </w:rPr>
  </w:style>
  <w:style w:type="paragraph" w:styleId="1250" w:customStyle="1">
    <w:name w:val="НижКолонтитулНечет"/>
    <w:basedOn w:val="1106"/>
    <w:pPr>
      <w:jc w:val="center"/>
      <w:keepLines/>
      <w:tabs>
        <w:tab w:val="right" w:pos="0" w:leader="none"/>
        <w:tab w:val="center" w:pos="4320" w:leader="none"/>
        <w:tab w:val="clear" w:pos="4677" w:leader="none"/>
        <w:tab w:val="right" w:pos="8640" w:leader="none"/>
        <w:tab w:val="clear" w:pos="9355" w:leader="none"/>
      </w:tabs>
      <w:pBdr>
        <w:top w:val="single" w:color="000000" w:sz="4" w:space="3"/>
      </w:pBdr>
    </w:pPr>
    <w:rPr>
      <w:rFonts w:ascii="Arial" w:hAnsi="Arial" w:eastAsia="Times New Roman" w:cs="Times New Roman"/>
      <w:sz w:val="20"/>
      <w:szCs w:val="20"/>
      <w:lang w:eastAsia="ar-SA"/>
    </w:rPr>
  </w:style>
  <w:style w:type="paragraph" w:styleId="1251" w:customStyle="1">
    <w:name w:val="СноскаОсн"/>
    <w:basedOn w:val="903"/>
    <w:pPr>
      <w:spacing w:before="240" w:after="0" w:line="240" w:lineRule="auto"/>
    </w:pPr>
    <w:rPr>
      <w:rFonts w:ascii="Times New Roman" w:hAnsi="Times New Roman" w:eastAsia="Times New Roman" w:cs="Times New Roman"/>
      <w:sz w:val="18"/>
      <w:szCs w:val="20"/>
      <w:lang w:eastAsia="ar-SA"/>
    </w:rPr>
  </w:style>
  <w:style w:type="paragraph" w:styleId="1252" w:customStyle="1">
    <w:name w:val="ВерхКолонтитулОсн"/>
    <w:basedOn w:val="903"/>
    <w:pPr>
      <w:keepLines/>
      <w:spacing w:after="0" w:line="240" w:lineRule="auto"/>
      <w:tabs>
        <w:tab w:val="center" w:pos="4320" w:leader="none"/>
        <w:tab w:val="right" w:pos="8640" w:leader="none"/>
      </w:tabs>
    </w:pPr>
    <w:rPr>
      <w:rFonts w:ascii="Times New Roman" w:hAnsi="Times New Roman" w:eastAsia="Times New Roman" w:cs="Times New Roman"/>
      <w:sz w:val="16"/>
      <w:szCs w:val="20"/>
      <w:lang w:eastAsia="ar-SA"/>
    </w:rPr>
  </w:style>
  <w:style w:type="paragraph" w:styleId="1253" w:customStyle="1">
    <w:name w:val="ВерхКолонтитулЧет"/>
    <w:basedOn w:val="1104"/>
    <w:pPr>
      <w:keepLines/>
      <w:tabs>
        <w:tab w:val="center" w:pos="4320" w:leader="none"/>
        <w:tab w:val="clear" w:pos="4677" w:leader="none"/>
        <w:tab w:val="right" w:pos="8640" w:leader="none"/>
        <w:tab w:val="clear" w:pos="9355" w:leader="none"/>
      </w:tabs>
    </w:pPr>
    <w:rPr>
      <w:rFonts w:ascii="Arial" w:hAnsi="Arial" w:eastAsia="Times New Roman" w:cs="Times New Roman"/>
      <w:b/>
      <w:caps/>
      <w:spacing w:val="60"/>
      <w:sz w:val="14"/>
      <w:szCs w:val="20"/>
      <w:lang w:eastAsia="ar-SA"/>
    </w:rPr>
  </w:style>
  <w:style w:type="paragraph" w:styleId="1254" w:customStyle="1">
    <w:name w:val="ВерхКолонтитулПерв"/>
    <w:basedOn w:val="1104"/>
    <w:pPr>
      <w:keepLines/>
      <w:tabs>
        <w:tab w:val="center" w:pos="4320" w:leader="none"/>
        <w:tab w:val="clear" w:pos="4677" w:leader="none"/>
        <w:tab w:val="right" w:pos="8640" w:leader="none"/>
        <w:tab w:val="clear" w:pos="9355" w:leader="none"/>
      </w:tabs>
    </w:pPr>
    <w:rPr>
      <w:rFonts w:ascii="Times New Roman" w:hAnsi="Times New Roman" w:eastAsia="Times New Roman" w:cs="Times New Roman"/>
      <w:caps/>
      <w:spacing w:val="60"/>
      <w:sz w:val="14"/>
      <w:szCs w:val="20"/>
      <w:lang w:eastAsia="ar-SA"/>
    </w:rPr>
  </w:style>
  <w:style w:type="paragraph" w:styleId="1255" w:customStyle="1">
    <w:name w:val="ВерхКолонтитулНечет"/>
    <w:basedOn w:val="1104"/>
    <w:pPr>
      <w:jc w:val="right"/>
      <w:keepLines/>
      <w:tabs>
        <w:tab w:val="right" w:pos="0" w:leader="none"/>
        <w:tab w:val="center" w:pos="4320" w:leader="none"/>
        <w:tab w:val="clear" w:pos="4677" w:leader="none"/>
        <w:tab w:val="right" w:pos="8640" w:leader="none"/>
        <w:tab w:val="clear" w:pos="9355" w:leader="none"/>
      </w:tabs>
    </w:pPr>
    <w:rPr>
      <w:rFonts w:ascii="Arial" w:hAnsi="Arial" w:eastAsia="Times New Roman" w:cs="Times New Roman"/>
      <w:b/>
      <w:caps/>
      <w:spacing w:val="60"/>
      <w:sz w:val="14"/>
      <w:szCs w:val="20"/>
      <w:lang w:eastAsia="ar-SA"/>
    </w:rPr>
  </w:style>
  <w:style w:type="paragraph" w:styleId="1256" w:customStyle="1">
    <w:name w:val="ЗаголовокОсн"/>
    <w:basedOn w:val="903"/>
    <w:next w:val="1109"/>
    <w:pPr>
      <w:keepNext/>
      <w:spacing w:before="240" w:after="120" w:line="240" w:lineRule="auto"/>
    </w:pPr>
    <w:rPr>
      <w:rFonts w:ascii="Arial" w:hAnsi="Arial" w:eastAsia="Times New Roman" w:cs="Times New Roman"/>
      <w:b/>
      <w:sz w:val="36"/>
      <w:szCs w:val="20"/>
      <w:lang w:eastAsia="ar-SA"/>
    </w:rPr>
  </w:style>
  <w:style w:type="paragraph" w:styleId="1257">
    <w:name w:val="index 1"/>
    <w:basedOn w:val="903"/>
    <w:pPr>
      <w:ind w:left="720" w:hanging="720"/>
      <w:spacing w:after="0" w:line="240" w:lineRule="atLeast"/>
      <w:tabs>
        <w:tab w:val="right" w:pos="14040" w:leader="dot"/>
      </w:tabs>
    </w:pPr>
    <w:rPr>
      <w:rFonts w:ascii="Arial" w:hAnsi="Arial" w:eastAsia="Times New Roman" w:cs="Times New Roman"/>
      <w:sz w:val="15"/>
      <w:szCs w:val="20"/>
      <w:lang w:eastAsia="ar-SA"/>
    </w:rPr>
  </w:style>
  <w:style w:type="paragraph" w:styleId="1258">
    <w:name w:val="index 2"/>
    <w:basedOn w:val="903"/>
    <w:pPr>
      <w:ind w:left="180"/>
      <w:spacing w:after="0" w:line="240" w:lineRule="atLeast"/>
      <w:tabs>
        <w:tab w:val="right" w:pos="6480" w:leader="dot"/>
      </w:tabs>
    </w:pPr>
    <w:rPr>
      <w:rFonts w:ascii="Arial" w:hAnsi="Arial" w:eastAsia="Times New Roman" w:cs="Times New Roman"/>
      <w:sz w:val="15"/>
      <w:szCs w:val="20"/>
      <w:lang w:eastAsia="ar-SA"/>
    </w:rPr>
  </w:style>
  <w:style w:type="paragraph" w:styleId="1259">
    <w:name w:val="index 3"/>
    <w:basedOn w:val="903"/>
    <w:pPr>
      <w:ind w:left="180"/>
      <w:spacing w:after="0" w:line="240" w:lineRule="atLeast"/>
      <w:tabs>
        <w:tab w:val="right" w:pos="6480" w:leader="dot"/>
      </w:tabs>
    </w:pPr>
    <w:rPr>
      <w:rFonts w:ascii="Times New Roman" w:hAnsi="Times New Roman" w:eastAsia="Times New Roman" w:cs="Times New Roman"/>
      <w:sz w:val="16"/>
      <w:szCs w:val="20"/>
      <w:lang w:eastAsia="ar-SA"/>
    </w:rPr>
  </w:style>
  <w:style w:type="paragraph" w:styleId="1260" w:customStyle="1">
    <w:name w:val="Указатель 41"/>
    <w:basedOn w:val="903"/>
    <w:pPr>
      <w:ind w:left="180"/>
      <w:spacing w:after="0" w:line="240" w:lineRule="atLeast"/>
      <w:tabs>
        <w:tab w:val="right" w:pos="6480" w:leader="none"/>
      </w:tabs>
    </w:pPr>
    <w:rPr>
      <w:rFonts w:ascii="Times New Roman" w:hAnsi="Times New Roman" w:eastAsia="Times New Roman" w:cs="Times New Roman"/>
      <w:sz w:val="18"/>
      <w:szCs w:val="20"/>
      <w:lang w:eastAsia="ar-SA"/>
    </w:rPr>
  </w:style>
  <w:style w:type="paragraph" w:styleId="1261" w:customStyle="1">
    <w:name w:val="Указатель 51"/>
    <w:basedOn w:val="903"/>
    <w:pPr>
      <w:ind w:left="180"/>
      <w:spacing w:after="0" w:line="240" w:lineRule="atLeast"/>
      <w:tabs>
        <w:tab w:val="right" w:pos="6480" w:leader="none"/>
      </w:tabs>
    </w:pPr>
    <w:rPr>
      <w:rFonts w:ascii="Times New Roman" w:hAnsi="Times New Roman" w:eastAsia="Times New Roman" w:cs="Times New Roman"/>
      <w:sz w:val="18"/>
      <w:szCs w:val="20"/>
      <w:lang w:eastAsia="ar-SA"/>
    </w:rPr>
  </w:style>
  <w:style w:type="paragraph" w:styleId="1262" w:customStyle="1">
    <w:name w:val="УказательОсн"/>
    <w:basedOn w:val="903"/>
    <w:pPr>
      <w:spacing w:after="0" w:line="240" w:lineRule="atLeast"/>
      <w:tabs>
        <w:tab w:val="right" w:pos="3960" w:leader="none"/>
      </w:tabs>
    </w:pPr>
    <w:rPr>
      <w:rFonts w:ascii="Times New Roman" w:hAnsi="Times New Roman" w:eastAsia="Times New Roman" w:cs="Times New Roman"/>
      <w:sz w:val="18"/>
      <w:szCs w:val="20"/>
      <w:lang w:eastAsia="ar-SA"/>
    </w:rPr>
  </w:style>
  <w:style w:type="paragraph" w:styleId="1263" w:customStyle="1">
    <w:name w:val="Список 21"/>
    <w:basedOn w:val="1237"/>
    <w:pPr>
      <w:ind w:left="1080"/>
      <w:tabs>
        <w:tab w:val="left" w:pos="6480" w:leader="none"/>
        <w:tab w:val="left" w:pos="7200" w:leader="none"/>
        <w:tab w:val="left" w:pos="7920" w:leader="none"/>
        <w:tab w:val="left" w:pos="8640" w:leader="none"/>
        <w:tab w:val="left" w:pos="9360" w:leader="none"/>
        <w:tab w:val="left" w:pos="10080" w:leader="none"/>
        <w:tab w:val="left" w:pos="10800" w:leader="none"/>
        <w:tab w:val="left" w:pos="11520" w:leader="none"/>
        <w:tab w:val="left" w:pos="12240" w:leader="none"/>
        <w:tab w:val="left" w:pos="12960" w:leader="none"/>
        <w:tab w:val="left" w:pos="13680" w:leader="none"/>
        <w:tab w:val="left" w:pos="14400" w:leader="none"/>
        <w:tab w:val="left" w:pos="15120" w:leader="none"/>
        <w:tab w:val="left" w:pos="16200" w:leader="none"/>
      </w:tabs>
    </w:pPr>
  </w:style>
  <w:style w:type="paragraph" w:styleId="1264" w:customStyle="1">
    <w:name w:val="Список 31"/>
    <w:basedOn w:val="1237"/>
    <w:pPr>
      <w:ind w:left="1440"/>
      <w:tabs>
        <w:tab w:val="left" w:pos="6840" w:leader="none"/>
        <w:tab w:val="left" w:pos="7920" w:leader="none"/>
        <w:tab w:val="left" w:pos="9000" w:leader="none"/>
        <w:tab w:val="left" w:pos="10080" w:leader="none"/>
        <w:tab w:val="left" w:pos="11160" w:leader="none"/>
        <w:tab w:val="left" w:pos="12240" w:leader="none"/>
        <w:tab w:val="left" w:pos="13320" w:leader="none"/>
        <w:tab w:val="left" w:pos="14400" w:leader="none"/>
        <w:tab w:val="left" w:pos="15480" w:leader="none"/>
        <w:tab w:val="left" w:pos="16560" w:leader="none"/>
        <w:tab w:val="left" w:pos="17640" w:leader="none"/>
        <w:tab w:val="left" w:pos="18720" w:leader="none"/>
        <w:tab w:val="left" w:pos="19800" w:leader="none"/>
        <w:tab w:val="left" w:pos="21600" w:leader="none"/>
      </w:tabs>
    </w:pPr>
  </w:style>
  <w:style w:type="paragraph" w:styleId="1265" w:customStyle="1">
    <w:name w:val="Список 41"/>
    <w:basedOn w:val="1237"/>
    <w:pPr>
      <w:ind w:left="1800"/>
      <w:tabs>
        <w:tab w:val="left" w:pos="7200" w:leader="none"/>
        <w:tab w:val="left" w:pos="8640" w:leader="none"/>
        <w:tab w:val="left" w:pos="10080" w:leader="none"/>
        <w:tab w:val="left" w:pos="11520" w:leader="none"/>
        <w:tab w:val="left" w:pos="12960" w:leader="none"/>
        <w:tab w:val="left" w:pos="14400" w:leader="none"/>
        <w:tab w:val="left" w:pos="15840" w:leader="none"/>
        <w:tab w:val="left" w:pos="17280" w:leader="none"/>
        <w:tab w:val="left" w:pos="18720" w:leader="none"/>
        <w:tab w:val="left" w:pos="20160" w:leader="none"/>
        <w:tab w:val="left" w:pos="21600" w:leader="none"/>
        <w:tab w:val="left" w:pos="23040" w:leader="none"/>
        <w:tab w:val="left" w:pos="24480" w:leader="none"/>
        <w:tab w:val="left" w:pos="27000" w:leader="none"/>
      </w:tabs>
    </w:pPr>
  </w:style>
  <w:style w:type="paragraph" w:styleId="1266" w:customStyle="1">
    <w:name w:val="Список 51"/>
    <w:basedOn w:val="1237"/>
    <w:pPr>
      <w:ind w:left="2160"/>
      <w:tabs>
        <w:tab w:val="left" w:pos="7560" w:leader="none"/>
        <w:tab w:val="left" w:pos="9360" w:leader="none"/>
        <w:tab w:val="left" w:pos="11160" w:leader="none"/>
        <w:tab w:val="left" w:pos="12960" w:leader="none"/>
        <w:tab w:val="left" w:pos="14760" w:leader="none"/>
        <w:tab w:val="left" w:pos="16560" w:leader="none"/>
        <w:tab w:val="left" w:pos="18360" w:leader="none"/>
        <w:tab w:val="left" w:pos="20160" w:leader="none"/>
        <w:tab w:val="left" w:pos="21960" w:leader="none"/>
        <w:tab w:val="left" w:pos="23760" w:leader="none"/>
        <w:tab w:val="left" w:pos="25560" w:leader="none"/>
        <w:tab w:val="left" w:pos="27360" w:leader="none"/>
        <w:tab w:val="left" w:pos="29160" w:leader="none"/>
        <w:tab w:val="left" w:pos="31680" w:leader="none"/>
      </w:tabs>
    </w:pPr>
  </w:style>
  <w:style w:type="paragraph" w:styleId="1267" w:customStyle="1">
    <w:name w:val="Текст макроса1"/>
    <w:basedOn w:val="1109"/>
    <w:pPr>
      <w:ind w:firstLine="0"/>
      <w:spacing w:line="240" w:lineRule="auto"/>
    </w:pPr>
    <w:rPr>
      <w:rFonts w:ascii="Courier New" w:hAnsi="Courier New"/>
      <w:sz w:val="24"/>
      <w:lang w:eastAsia="ar-SA"/>
    </w:rPr>
  </w:style>
  <w:style w:type="paragraph" w:styleId="1268" w:customStyle="1">
    <w:name w:val="Название части"/>
    <w:basedOn w:val="903"/>
    <w:next w:val="903"/>
    <w:pPr>
      <w:jc w:val="center"/>
      <w:spacing w:after="0" w:line="1560" w:lineRule="exact"/>
      <w:shd w:val="clear" w:color="auto" w:fill="cccccc"/>
    </w:pPr>
    <w:rPr>
      <w:rFonts w:ascii="Arial" w:hAnsi="Arial" w:eastAsia="Times New Roman" w:cs="Times New Roman"/>
      <w:b/>
      <w:color w:val="ffffff"/>
      <w:position w:val="-195"/>
      <w:sz w:val="196"/>
      <w:szCs w:val="20"/>
      <w:lang w:eastAsia="ar-SA"/>
    </w:rPr>
  </w:style>
  <w:style w:type="paragraph" w:styleId="1269" w:customStyle="1">
    <w:name w:val="Заголовок части"/>
    <w:basedOn w:val="903"/>
    <w:next w:val="1268"/>
    <w:pPr>
      <w:jc w:val="center"/>
      <w:keepNext/>
      <w:pageBreakBefore/>
      <w:spacing w:after="0" w:line="480" w:lineRule="exact"/>
      <w:shd w:val="clear" w:color="auto" w:fill="cccccc"/>
    </w:pPr>
    <w:rPr>
      <w:rFonts w:ascii="Arial" w:hAnsi="Arial" w:eastAsia="Times New Roman" w:cs="Times New Roman"/>
      <w:b/>
      <w:position w:val="-35"/>
      <w:sz w:val="36"/>
      <w:szCs w:val="20"/>
      <w:lang w:eastAsia="ar-SA"/>
    </w:rPr>
  </w:style>
  <w:style w:type="paragraph" w:styleId="1270" w:customStyle="1">
    <w:name w:val="Рисунок"/>
    <w:basedOn w:val="1109"/>
    <w:next w:val="1244"/>
    <w:pPr>
      <w:ind w:firstLine="0"/>
      <w:keepNext/>
      <w:spacing w:after="240" w:line="240" w:lineRule="auto"/>
    </w:pPr>
    <w:rPr>
      <w:sz w:val="24"/>
      <w:lang w:eastAsia="ar-SA"/>
    </w:rPr>
  </w:style>
  <w:style w:type="paragraph" w:styleId="1271" w:customStyle="1">
    <w:name w:val="Название раздела"/>
    <w:basedOn w:val="903"/>
    <w:next w:val="1109"/>
    <w:pPr>
      <w:spacing w:after="0" w:line="640" w:lineRule="atLeast"/>
    </w:pPr>
    <w:rPr>
      <w:rFonts w:ascii="Arial" w:hAnsi="Arial" w:eastAsia="Times New Roman" w:cs="Times New Roman"/>
      <w:caps/>
      <w:spacing w:val="60"/>
      <w:sz w:val="16"/>
      <w:szCs w:val="20"/>
      <w:lang w:eastAsia="ar-SA"/>
    </w:rPr>
  </w:style>
  <w:style w:type="paragraph" w:styleId="1272" w:customStyle="1">
    <w:name w:val="РазделОсн"/>
    <w:basedOn w:val="903"/>
    <w:next w:val="903"/>
    <w:pPr>
      <w:spacing w:before="2040" w:after="360" w:line="480" w:lineRule="atLeast"/>
    </w:pPr>
    <w:rPr>
      <w:rFonts w:ascii="Arial" w:hAnsi="Arial" w:eastAsia="Times New Roman" w:cs="Times New Roman"/>
      <w:b/>
      <w:color w:val="808080"/>
      <w:sz w:val="48"/>
      <w:szCs w:val="20"/>
      <w:lang w:eastAsia="ar-SA"/>
    </w:rPr>
  </w:style>
  <w:style w:type="paragraph" w:styleId="1273">
    <w:name w:val="Title"/>
    <w:basedOn w:val="1256"/>
    <w:next w:val="1275"/>
    <w:link w:val="1274"/>
    <w:qFormat/>
    <w:pPr>
      <w:jc w:val="center"/>
      <w:spacing w:before="100" w:after="3600" w:line="600" w:lineRule="exact"/>
      <w:pBdr>
        <w:bottom w:val="single" w:color="808080" w:sz="4" w:space="14"/>
      </w:pBdr>
    </w:pPr>
    <w:rPr>
      <w:b w:val="0"/>
      <w:color w:val="808080"/>
      <w:sz w:val="48"/>
    </w:rPr>
  </w:style>
  <w:style w:type="character" w:styleId="1274" w:customStyle="1">
    <w:name w:val="Заголовок Знак"/>
    <w:basedOn w:val="913"/>
    <w:link w:val="1273"/>
    <w:rPr>
      <w:rFonts w:ascii="Arial" w:hAnsi="Arial" w:eastAsia="Times New Roman" w:cs="Times New Roman"/>
      <w:color w:val="808080"/>
      <w:sz w:val="48"/>
      <w:szCs w:val="20"/>
      <w:lang w:eastAsia="ar-SA"/>
    </w:rPr>
  </w:style>
  <w:style w:type="paragraph" w:styleId="1275">
    <w:name w:val="Subtitle"/>
    <w:basedOn w:val="1273"/>
    <w:next w:val="1109"/>
    <w:link w:val="1276"/>
    <w:qFormat/>
    <w:pPr>
      <w:spacing w:before="1940" w:after="0" w:line="200" w:lineRule="atLeast"/>
      <w:pBdr>
        <w:bottom w:val="none" w:color="000000" w:sz="0" w:space="0"/>
      </w:pBdr>
    </w:pPr>
    <w:rPr>
      <w:rFonts w:ascii="Times New Roman" w:hAnsi="Times New Roman"/>
      <w:caps/>
      <w:color w:val="auto"/>
      <w:spacing w:val="30"/>
      <w:sz w:val="18"/>
    </w:rPr>
  </w:style>
  <w:style w:type="character" w:styleId="1276" w:customStyle="1">
    <w:name w:val="Подзаголовок Знак"/>
    <w:basedOn w:val="913"/>
    <w:link w:val="1275"/>
    <w:rPr>
      <w:rFonts w:ascii="Times New Roman" w:hAnsi="Times New Roman" w:eastAsia="Times New Roman" w:cs="Times New Roman"/>
      <w:caps/>
      <w:spacing w:val="30"/>
      <w:sz w:val="18"/>
      <w:szCs w:val="20"/>
      <w:lang w:eastAsia="ar-SA"/>
    </w:rPr>
  </w:style>
  <w:style w:type="paragraph" w:styleId="1277" w:customStyle="1">
    <w:name w:val="Заголовок обложки 2"/>
    <w:basedOn w:val="903"/>
    <w:next w:val="1278"/>
    <w:pPr>
      <w:keepNext/>
      <w:spacing w:after="5280" w:line="480" w:lineRule="exact"/>
      <w:pBdr>
        <w:top w:val="single" w:color="000000" w:sz="4" w:space="1"/>
      </w:pBdr>
    </w:pPr>
    <w:rPr>
      <w:rFonts w:ascii="Times New Roman" w:hAnsi="Times New Roman" w:eastAsia="Times New Roman" w:cs="Times New Roman"/>
      <w:sz w:val="44"/>
      <w:szCs w:val="20"/>
      <w:lang w:eastAsia="ar-SA"/>
    </w:rPr>
  </w:style>
  <w:style w:type="paragraph" w:styleId="1278" w:customStyle="1">
    <w:name w:val="Заголовок обложки"/>
    <w:basedOn w:val="1256"/>
    <w:next w:val="1277"/>
    <w:pPr>
      <w:ind w:left="600" w:right="600"/>
      <w:jc w:val="right"/>
      <w:keepNext w:val="0"/>
      <w:spacing w:before="0" w:after="0" w:line="1440" w:lineRule="exact"/>
      <w:shd w:val="clear" w:color="auto" w:fill="e5e5e5"/>
      <w:pBdr>
        <w:top w:val="single" w:color="FFFFFF" w:sz="4" w:space="31"/>
        <w:left w:val="single" w:color="FFFFFF" w:sz="4" w:space="31"/>
        <w:bottom w:val="single" w:color="FFFFFF" w:sz="4" w:space="31"/>
        <w:right w:val="single" w:color="FFFFFF" w:sz="4" w:space="31"/>
      </w:pBdr>
    </w:pPr>
    <w:rPr>
      <w:rFonts w:ascii="Times New Roman" w:hAnsi="Times New Roman"/>
      <w:b w:val="0"/>
      <w:spacing w:val="-20"/>
      <w:position w:val="144"/>
      <w:sz w:val="144"/>
    </w:rPr>
  </w:style>
  <w:style w:type="paragraph" w:styleId="1279" w:customStyle="1">
    <w:name w:val="Организация"/>
    <w:basedOn w:val="903"/>
    <w:next w:val="1277"/>
    <w:pPr>
      <w:spacing w:before="420" w:after="60" w:line="320" w:lineRule="exact"/>
    </w:pPr>
    <w:rPr>
      <w:rFonts w:ascii="Times New Roman" w:hAnsi="Times New Roman" w:eastAsia="Times New Roman" w:cs="Times New Roman"/>
      <w:caps/>
      <w:sz w:val="38"/>
      <w:szCs w:val="20"/>
      <w:lang w:eastAsia="ar-SA"/>
    </w:rPr>
  </w:style>
  <w:style w:type="paragraph" w:styleId="1280" w:customStyle="1">
    <w:name w:val="Обратный адрес"/>
    <w:basedOn w:val="903"/>
    <w:pPr>
      <w:jc w:val="center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1281" w:customStyle="1">
    <w:name w:val="Значок 1"/>
    <w:basedOn w:val="903"/>
    <w:pPr>
      <w:jc w:val="center"/>
      <w:spacing w:before="60" w:after="0" w:line="1440" w:lineRule="exact"/>
      <w:shd w:val="clear" w:color="auto" w:fill="e5e5e5"/>
    </w:pPr>
    <w:rPr>
      <w:rFonts w:ascii="Wingdings" w:hAnsi="Wingdings" w:eastAsia="Times New Roman" w:cs="Times New Roman"/>
      <w:b/>
      <w:color w:val="ffffff"/>
      <w:spacing w:val="-10"/>
      <w:position w:val="-159"/>
      <w:sz w:val="160"/>
      <w:szCs w:val="20"/>
      <w:lang w:eastAsia="ar-SA"/>
    </w:rPr>
  </w:style>
  <w:style w:type="paragraph" w:styleId="1282">
    <w:name w:val="toc 1"/>
    <w:basedOn w:val="903"/>
    <w:pPr>
      <w:spacing w:after="0" w:line="320" w:lineRule="atLeast"/>
      <w:tabs>
        <w:tab w:val="right" w:pos="3600" w:leader="none"/>
      </w:tabs>
    </w:pPr>
    <w:rPr>
      <w:rFonts w:ascii="Arial" w:hAnsi="Arial" w:eastAsia="Times New Roman" w:cs="Times New Roman"/>
      <w:sz w:val="16"/>
      <w:szCs w:val="20"/>
      <w:lang w:eastAsia="ar-SA"/>
    </w:rPr>
  </w:style>
  <w:style w:type="paragraph" w:styleId="1283">
    <w:name w:val="toc 2"/>
    <w:basedOn w:val="1282"/>
  </w:style>
  <w:style w:type="paragraph" w:styleId="1284">
    <w:name w:val="toc 8"/>
    <w:basedOn w:val="903"/>
    <w:next w:val="903"/>
    <w:pPr>
      <w:ind w:left="1120"/>
      <w:spacing w:after="0" w:line="240" w:lineRule="auto"/>
      <w:tabs>
        <w:tab w:val="right" w:pos="19280" w:leader="dot"/>
      </w:tabs>
    </w:pPr>
    <w:rPr>
      <w:rFonts w:ascii="Times New Roman" w:hAnsi="Times New Roman" w:eastAsia="Times New Roman" w:cs="Times New Roman"/>
      <w:sz w:val="16"/>
      <w:szCs w:val="20"/>
      <w:lang w:eastAsia="ar-SA"/>
    </w:rPr>
  </w:style>
  <w:style w:type="paragraph" w:styleId="1285">
    <w:name w:val="toc 6"/>
    <w:basedOn w:val="903"/>
    <w:next w:val="903"/>
    <w:pPr>
      <w:ind w:left="800"/>
      <w:spacing w:after="0" w:line="240" w:lineRule="auto"/>
      <w:tabs>
        <w:tab w:val="right" w:pos="14800" w:leader="dot"/>
      </w:tabs>
    </w:pPr>
    <w:rPr>
      <w:rFonts w:ascii="Times New Roman" w:hAnsi="Times New Roman" w:eastAsia="Times New Roman" w:cs="Times New Roman"/>
      <w:sz w:val="16"/>
      <w:szCs w:val="20"/>
      <w:lang w:eastAsia="ar-SA"/>
    </w:rPr>
  </w:style>
  <w:style w:type="paragraph" w:styleId="1286">
    <w:name w:val="toc 7"/>
    <w:basedOn w:val="903"/>
    <w:next w:val="903"/>
    <w:pPr>
      <w:ind w:left="960"/>
      <w:spacing w:after="0" w:line="240" w:lineRule="auto"/>
      <w:tabs>
        <w:tab w:val="right" w:pos="17040" w:leader="dot"/>
      </w:tabs>
    </w:pPr>
    <w:rPr>
      <w:rFonts w:ascii="Times New Roman" w:hAnsi="Times New Roman" w:eastAsia="Times New Roman" w:cs="Times New Roman"/>
      <w:sz w:val="16"/>
      <w:szCs w:val="20"/>
      <w:lang w:eastAsia="ar-SA"/>
    </w:rPr>
  </w:style>
  <w:style w:type="paragraph" w:styleId="1287" w:customStyle="1">
    <w:name w:val="Указатель 61"/>
    <w:basedOn w:val="1257"/>
    <w:next w:val="903"/>
    <w:pPr>
      <w:ind w:left="960" w:hanging="160"/>
      <w:tabs>
        <w:tab w:val="right" w:pos="14280" w:leader="dot"/>
        <w:tab w:val="right" w:pos="14520" w:leader="dot"/>
        <w:tab w:val="right" w:pos="14760" w:leader="dot"/>
        <w:tab w:val="right" w:pos="15000" w:leader="dot"/>
        <w:tab w:val="right" w:pos="15240" w:leader="dot"/>
        <w:tab w:val="right" w:pos="15480" w:leader="dot"/>
        <w:tab w:val="right" w:pos="15720" w:leader="dot"/>
        <w:tab w:val="right" w:pos="15960" w:leader="dot"/>
        <w:tab w:val="right" w:pos="16200" w:leader="dot"/>
        <w:tab w:val="right" w:pos="16440" w:leader="dot"/>
        <w:tab w:val="right" w:pos="16680" w:leader="dot"/>
        <w:tab w:val="right" w:pos="16920" w:leader="dot"/>
        <w:tab w:val="right" w:pos="17040" w:leader="dot"/>
        <w:tab w:val="right" w:pos="17160" w:leader="dot"/>
        <w:tab w:val="right" w:pos="17400" w:leader="dot"/>
      </w:tabs>
    </w:pPr>
  </w:style>
  <w:style w:type="paragraph" w:styleId="1288" w:customStyle="1">
    <w:name w:val="Указатель 71"/>
    <w:basedOn w:val="1257"/>
    <w:next w:val="903"/>
    <w:pPr>
      <w:ind w:left="1120" w:hanging="160"/>
      <w:tabs>
        <w:tab w:val="right" w:pos="14440" w:leader="dot"/>
        <w:tab w:val="right" w:pos="14840" w:leader="dot"/>
        <w:tab w:val="right" w:pos="15240" w:leader="dot"/>
        <w:tab w:val="right" w:pos="15640" w:leader="dot"/>
        <w:tab w:val="right" w:pos="16040" w:leader="dot"/>
        <w:tab w:val="right" w:pos="16440" w:leader="dot"/>
        <w:tab w:val="right" w:pos="16840" w:leader="dot"/>
        <w:tab w:val="right" w:pos="17240" w:leader="dot"/>
        <w:tab w:val="right" w:pos="17640" w:leader="dot"/>
        <w:tab w:val="right" w:pos="18040" w:leader="dot"/>
        <w:tab w:val="right" w:pos="18440" w:leader="dot"/>
        <w:tab w:val="right" w:pos="18840" w:leader="dot"/>
        <w:tab w:val="right" w:pos="19240" w:leader="dot"/>
        <w:tab w:val="right" w:pos="19280" w:leader="dot"/>
        <w:tab w:val="right" w:pos="19640" w:leader="dot"/>
      </w:tabs>
    </w:pPr>
  </w:style>
  <w:style w:type="paragraph" w:styleId="1289" w:customStyle="1">
    <w:name w:val="Указатель 81"/>
    <w:basedOn w:val="903"/>
    <w:next w:val="903"/>
    <w:pPr>
      <w:ind w:left="1280" w:hanging="160"/>
      <w:spacing w:after="0" w:line="240" w:lineRule="auto"/>
      <w:tabs>
        <w:tab w:val="right" w:pos="21520" w:leader="dot"/>
      </w:tabs>
    </w:pPr>
    <w:rPr>
      <w:rFonts w:ascii="Times New Roman" w:hAnsi="Times New Roman" w:eastAsia="Times New Roman" w:cs="Times New Roman"/>
      <w:sz w:val="16"/>
      <w:szCs w:val="20"/>
      <w:lang w:eastAsia="ar-SA"/>
    </w:rPr>
  </w:style>
  <w:style w:type="paragraph" w:styleId="1290">
    <w:name w:val="toc 9"/>
    <w:basedOn w:val="903"/>
    <w:next w:val="903"/>
    <w:pPr>
      <w:ind w:left="1280"/>
      <w:spacing w:after="0" w:line="240" w:lineRule="auto"/>
      <w:tabs>
        <w:tab w:val="right" w:pos="21520" w:leader="dot"/>
      </w:tabs>
    </w:pPr>
    <w:rPr>
      <w:rFonts w:ascii="Times New Roman" w:hAnsi="Times New Roman" w:eastAsia="Times New Roman" w:cs="Times New Roman"/>
      <w:sz w:val="16"/>
      <w:szCs w:val="20"/>
      <w:lang w:eastAsia="ar-SA"/>
    </w:rPr>
  </w:style>
  <w:style w:type="paragraph" w:styleId="1291" w:customStyle="1">
    <w:name w:val="Нумерованный список1"/>
    <w:basedOn w:val="1237"/>
    <w:pPr>
      <w:numPr>
        <w:ilvl w:val="0"/>
        <w:numId w:val="12"/>
      </w:numPr>
      <w:ind w:left="720" w:right="360"/>
    </w:pPr>
  </w:style>
  <w:style w:type="paragraph" w:styleId="1292" w:customStyle="1">
    <w:name w:val="НумерованныйПерв"/>
    <w:basedOn w:val="1291"/>
    <w:next w:val="1291"/>
    <w:pPr>
      <w:numPr>
        <w:ilvl w:val="0"/>
        <w:numId w:val="13"/>
      </w:numPr>
      <w:ind w:right="0"/>
      <w:jc w:val="left"/>
      <w:spacing w:before="80" w:after="160"/>
    </w:pPr>
    <w:rPr>
      <w:sz w:val="20"/>
    </w:rPr>
  </w:style>
  <w:style w:type="paragraph" w:styleId="1293" w:customStyle="1">
    <w:name w:val="НумерованныйПосл"/>
    <w:basedOn w:val="1291"/>
    <w:next w:val="1109"/>
    <w:pPr>
      <w:numPr>
        <w:ilvl w:val="0"/>
        <w:numId w:val="14"/>
      </w:numPr>
      <w:ind w:right="0"/>
      <w:jc w:val="left"/>
    </w:pPr>
    <w:rPr>
      <w:sz w:val="20"/>
    </w:rPr>
  </w:style>
  <w:style w:type="paragraph" w:styleId="1294" w:customStyle="1">
    <w:name w:val="ЦитатаПосл"/>
    <w:basedOn w:val="1241"/>
    <w:next w:val="1109"/>
    <w:pPr>
      <w:ind w:left="720" w:right="720"/>
      <w:jc w:val="left"/>
      <w:keepLines/>
      <w:shd w:val="clear" w:color="auto" w:fill="auto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</w:pPr>
    <w:rPr>
      <w:i/>
      <w:sz w:val="20"/>
    </w:rPr>
  </w:style>
  <w:style w:type="paragraph" w:styleId="1295" w:customStyle="1">
    <w:name w:val="Дата1"/>
    <w:basedOn w:val="1109"/>
    <w:pPr>
      <w:ind w:firstLine="0"/>
      <w:jc w:val="center"/>
      <w:spacing w:before="480" w:after="160" w:line="240" w:lineRule="auto"/>
    </w:pPr>
    <w:rPr>
      <w:b/>
      <w:sz w:val="20"/>
      <w:lang w:eastAsia="ar-SA"/>
    </w:rPr>
  </w:style>
  <w:style w:type="paragraph" w:styleId="1296" w:customStyle="1">
    <w:name w:val="Название документа"/>
    <w:basedOn w:val="1256"/>
    <w:pPr>
      <w:spacing w:after="360"/>
    </w:pPr>
    <w:rPr>
      <w:rFonts w:ascii="Times New Roman" w:hAnsi="Times New Roman"/>
    </w:rPr>
  </w:style>
  <w:style w:type="paragraph" w:styleId="1297" w:customStyle="1">
    <w:name w:val="Маркированный список1"/>
    <w:basedOn w:val="1237"/>
    <w:pPr>
      <w:numPr>
        <w:ilvl w:val="0"/>
        <w:numId w:val="15"/>
      </w:numPr>
      <w:ind w:left="720" w:right="360"/>
    </w:pPr>
  </w:style>
  <w:style w:type="paragraph" w:styleId="1298" w:customStyle="1">
    <w:name w:val="МаркированныйПерв"/>
    <w:basedOn w:val="1297"/>
    <w:next w:val="1297"/>
    <w:pPr>
      <w:numPr>
        <w:ilvl w:val="0"/>
        <w:numId w:val="16"/>
      </w:numPr>
      <w:ind w:left="720" w:right="0"/>
      <w:jc w:val="left"/>
      <w:spacing w:before="80" w:after="160"/>
    </w:pPr>
    <w:rPr>
      <w:sz w:val="20"/>
    </w:rPr>
  </w:style>
  <w:style w:type="paragraph" w:styleId="1299" w:customStyle="1">
    <w:name w:val="МаркированныйПосл"/>
    <w:basedOn w:val="1297"/>
    <w:next w:val="1109"/>
    <w:pPr>
      <w:numPr>
        <w:ilvl w:val="0"/>
        <w:numId w:val="17"/>
      </w:numPr>
      <w:ind w:left="720" w:right="0" w:hanging="360"/>
      <w:jc w:val="left"/>
    </w:pPr>
    <w:rPr>
      <w:sz w:val="20"/>
    </w:rPr>
  </w:style>
  <w:style w:type="paragraph" w:styleId="1300" w:customStyle="1">
    <w:name w:val="СписокПерв"/>
    <w:basedOn w:val="1237"/>
    <w:next w:val="1237"/>
    <w:pPr>
      <w:ind w:left="720" w:hanging="360"/>
      <w:jc w:val="left"/>
      <w:spacing w:before="80" w:after="80"/>
    </w:pPr>
    <w:rPr>
      <w:sz w:val="20"/>
    </w:rPr>
  </w:style>
  <w:style w:type="paragraph" w:styleId="1301" w:customStyle="1">
    <w:name w:val="СписокПосл"/>
    <w:basedOn w:val="1237"/>
    <w:next w:val="1109"/>
    <w:pPr>
      <w:ind w:left="720" w:hanging="360"/>
      <w:jc w:val="left"/>
    </w:pPr>
    <w:rPr>
      <w:sz w:val="20"/>
    </w:rPr>
  </w:style>
  <w:style w:type="paragraph" w:styleId="1302" w:customStyle="1">
    <w:name w:val="Заголовок части 2"/>
    <w:basedOn w:val="1269"/>
    <w:next w:val="1109"/>
    <w:pPr>
      <w:pageBreakBefore w:val="0"/>
      <w:spacing w:before="360" w:after="120" w:line="240" w:lineRule="auto"/>
      <w:shd w:val="clear" w:color="auto" w:fill="auto"/>
    </w:pPr>
    <w:rPr>
      <w:i/>
      <w:position w:val="0"/>
      <w:sz w:val="32"/>
    </w:rPr>
  </w:style>
  <w:style w:type="paragraph" w:styleId="1303" w:customStyle="1">
    <w:name w:val="Указатель 91"/>
    <w:basedOn w:val="1262"/>
    <w:pPr>
      <w:ind w:left="2880" w:hanging="720"/>
      <w:spacing w:line="240" w:lineRule="auto"/>
      <w:tabs>
        <w:tab w:val="right" w:pos="-29896" w:leader="none"/>
        <w:tab w:val="right" w:pos="-27016" w:leader="none"/>
        <w:tab w:val="right" w:pos="-24136" w:leader="none"/>
        <w:tab w:val="right" w:pos="-21256" w:leader="dot"/>
        <w:tab w:val="right" w:pos="6840" w:leader="none"/>
        <w:tab w:val="right" w:pos="9720" w:leader="none"/>
        <w:tab w:val="right" w:pos="12600" w:leader="none"/>
        <w:tab w:val="right" w:pos="15480" w:leader="none"/>
        <w:tab w:val="right" w:pos="18360" w:leader="none"/>
        <w:tab w:val="right" w:pos="21240" w:leader="none"/>
        <w:tab w:val="right" w:pos="24120" w:leader="none"/>
        <w:tab w:val="right" w:pos="27000" w:leader="none"/>
        <w:tab w:val="right" w:pos="29880" w:leader="none"/>
        <w:tab w:val="right" w:pos="31680" w:leader="none"/>
      </w:tabs>
    </w:pPr>
    <w:rPr>
      <w:sz w:val="20"/>
    </w:rPr>
  </w:style>
  <w:style w:type="paragraph" w:styleId="1304" w:customStyle="1">
    <w:name w:val="Шапка1"/>
    <w:basedOn w:val="1109"/>
    <w:pPr>
      <w:ind w:left="1080" w:right="2880" w:hanging="1080"/>
      <w:jc w:val="left"/>
      <w:keepLines/>
      <w:spacing w:after="240" w:line="240" w:lineRule="auto"/>
      <w:tabs>
        <w:tab w:val="left" w:pos="18720" w:leader="none"/>
        <w:tab w:val="left" w:pos="19800" w:leader="none"/>
      </w:tabs>
    </w:pPr>
    <w:rPr>
      <w:rFonts w:ascii="Arial" w:hAnsi="Arial"/>
      <w:sz w:val="20"/>
      <w:lang w:eastAsia="ar-SA"/>
    </w:rPr>
  </w:style>
  <w:style w:type="paragraph" w:styleId="1305" w:customStyle="1">
    <w:name w:val="Содержание"/>
    <w:basedOn w:val="1283"/>
  </w:style>
  <w:style w:type="paragraph" w:styleId="1306" w:customStyle="1">
    <w:name w:val="Маркированный список 51"/>
    <w:basedOn w:val="903"/>
    <w:pPr>
      <w:numPr>
        <w:ilvl w:val="0"/>
        <w:numId w:val="18"/>
      </w:numPr>
      <w:spacing w:after="0" w:line="320" w:lineRule="exact"/>
      <w:pBdr>
        <w:bottom w:val="single" w:color="000000" w:sz="4" w:space="0"/>
      </w:pBdr>
    </w:pPr>
    <w:rPr>
      <w:rFonts w:ascii="Times New Roman" w:hAnsi="Times New Roman" w:eastAsia="Times New Roman" w:cs="Times New Roman"/>
      <w:position w:val="18"/>
      <w:sz w:val="18"/>
      <w:szCs w:val="20"/>
      <w:lang w:eastAsia="ar-SA"/>
    </w:rPr>
  </w:style>
  <w:style w:type="paragraph" w:styleId="1307">
    <w:name w:val="index heading"/>
    <w:basedOn w:val="903"/>
    <w:next w:val="1257"/>
    <w:pPr>
      <w:keepNext/>
      <w:spacing w:after="0" w:line="480" w:lineRule="exact"/>
    </w:pPr>
    <w:rPr>
      <w:rFonts w:ascii="Times New Roman" w:hAnsi="Times New Roman" w:eastAsia="Times New Roman" w:cs="Times New Roman"/>
      <w:b/>
      <w:caps/>
      <w:color w:val="808080"/>
      <w:position w:val="-35"/>
      <w:sz w:val="36"/>
      <w:szCs w:val="20"/>
      <w:lang w:eastAsia="ar-SA"/>
    </w:rPr>
  </w:style>
  <w:style w:type="paragraph" w:styleId="1308" w:customStyle="1">
    <w:name w:val="Основной текст 21"/>
    <w:basedOn w:val="903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eastAsia="ar-SA"/>
    </w:rPr>
  </w:style>
  <w:style w:type="paragraph" w:styleId="1309" w:customStyle="1">
    <w:name w:val="Основной текст 31"/>
    <w:basedOn w:val="903"/>
    <w:pPr>
      <w:spacing w:after="0" w:line="240" w:lineRule="auto"/>
    </w:pPr>
    <w:rPr>
      <w:rFonts w:ascii="Times New Roman" w:hAnsi="Times New Roman" w:eastAsia="Times New Roman" w:cs="Times New Roman"/>
      <w:color w:val="ff0000"/>
      <w:sz w:val="24"/>
      <w:szCs w:val="20"/>
      <w:lang w:eastAsia="ar-SA"/>
    </w:rPr>
  </w:style>
  <w:style w:type="paragraph" w:styleId="1310" w:customStyle="1">
    <w:name w:val="Содержимое таблицы"/>
    <w:basedOn w:val="903"/>
    <w:pPr>
      <w:spacing w:after="0" w:line="240" w:lineRule="auto"/>
      <w:suppressLineNumbers/>
    </w:pPr>
    <w:rPr>
      <w:rFonts w:ascii="Times New Roman" w:hAnsi="Times New Roman" w:eastAsia="Times New Roman" w:cs="Times New Roman"/>
      <w:sz w:val="16"/>
      <w:szCs w:val="20"/>
      <w:lang w:eastAsia="ar-SA"/>
    </w:rPr>
  </w:style>
  <w:style w:type="paragraph" w:styleId="1311" w:customStyle="1">
    <w:name w:val="Заголовок таблицы"/>
    <w:basedOn w:val="1310"/>
    <w:pPr>
      <w:jc w:val="center"/>
    </w:pPr>
    <w:rPr>
      <w:b/>
      <w:bCs/>
    </w:rPr>
  </w:style>
  <w:style w:type="paragraph" w:styleId="1312" w:customStyle="1">
    <w:name w:val="???????? ????? 3"/>
    <w:basedOn w:val="903"/>
    <w:pPr>
      <w:jc w:val="both"/>
      <w:spacing w:after="0" w:line="240" w:lineRule="auto"/>
    </w:pPr>
    <w:rPr>
      <w:rFonts w:ascii="Times New Roman" w:hAnsi="Times New Roman" w:eastAsia="Times New Roman" w:cs="Times New Roman"/>
      <w:color w:val="000000"/>
      <w:sz w:val="16"/>
      <w:szCs w:val="20"/>
      <w:lang w:eastAsia="ar-SA"/>
    </w:rPr>
  </w:style>
  <w:style w:type="character" w:styleId="1313" w:customStyle="1">
    <w:name w:val="apple-style-span"/>
  </w:style>
  <w:style w:type="paragraph" w:styleId="1314" w:customStyle="1">
    <w:name w:val="ConsNonformat"/>
    <w:link w:val="1514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1315">
    <w:name w:val="Block Text"/>
    <w:basedOn w:val="903"/>
    <w:pPr>
      <w:ind w:left="10" w:right="102" w:firstLine="451"/>
      <w:spacing w:after="0" w:line="278" w:lineRule="exact"/>
      <w:shd w:val="clear" w:color="auto" w:fill="ffffff"/>
    </w:pPr>
    <w:rPr>
      <w:rFonts w:ascii="Times New Roman" w:hAnsi="Times New Roman" w:eastAsia="Times New Roman" w:cs="Times New Roman"/>
      <w:color w:val="000000"/>
      <w:spacing w:val="-9"/>
      <w:sz w:val="25"/>
      <w:szCs w:val="20"/>
      <w:lang w:eastAsia="ru-RU"/>
    </w:rPr>
  </w:style>
  <w:style w:type="paragraph" w:styleId="1316" w:customStyle="1">
    <w:name w:val="Нормальный"/>
    <w:basedOn w:val="903"/>
    <w:uiPriority w:val="99"/>
    <w:pPr>
      <w:ind w:firstLine="700"/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17" w:customStyle="1">
    <w:name w:val="Char Char"/>
    <w:basedOn w:val="903"/>
    <w:pPr>
      <w:spacing w:after="160" w:line="240" w:lineRule="exact"/>
    </w:pPr>
    <w:rPr>
      <w:rFonts w:ascii="Times New Roman" w:hAnsi="Times New Roman" w:eastAsia="Calibri" w:cs="Times New Roman"/>
      <w:sz w:val="20"/>
      <w:szCs w:val="20"/>
      <w:lang w:eastAsia="zh-CN"/>
    </w:rPr>
  </w:style>
  <w:style w:type="paragraph" w:styleId="1318" w:customStyle="1">
    <w:name w:val="çàãîëîâîê 7"/>
    <w:basedOn w:val="903"/>
    <w:next w:val="903"/>
    <w:semiHidden/>
    <w:pPr>
      <w:jc w:val="center"/>
      <w:keepNext/>
      <w:spacing w:before="120" w:after="0" w:line="240" w:lineRule="auto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319" w:customStyle="1">
    <w:name w:val="fill"/>
    <w:qFormat/>
    <w:rPr>
      <w:b/>
      <w:bCs/>
      <w:i/>
      <w:iCs/>
      <w:color w:val="ff0000"/>
    </w:rPr>
  </w:style>
  <w:style w:type="paragraph" w:styleId="1320">
    <w:name w:val="No Spacing"/>
    <w:link w:val="1454"/>
    <w:uiPriority w:val="1"/>
    <w:qFormat/>
    <w:pPr>
      <w:spacing w:after="0" w:line="240" w:lineRule="auto"/>
    </w:pPr>
    <w:rPr>
      <w:rFonts w:ascii="Calibri" w:hAnsi="Calibri" w:eastAsia="Calibri" w:cs="Times New Roman"/>
    </w:rPr>
  </w:style>
  <w:style w:type="paragraph" w:styleId="1321">
    <w:name w:val="endnote text"/>
    <w:basedOn w:val="903"/>
    <w:link w:val="1322"/>
    <w:rPr>
      <w:rFonts w:ascii="Calibri" w:hAnsi="Calibri" w:eastAsia="Times New Roman" w:cs="Times New Roman"/>
      <w:sz w:val="20"/>
      <w:szCs w:val="20"/>
    </w:rPr>
  </w:style>
  <w:style w:type="character" w:styleId="1322" w:customStyle="1">
    <w:name w:val="Текст концевой сноски Знак"/>
    <w:basedOn w:val="913"/>
    <w:link w:val="1321"/>
    <w:rPr>
      <w:rFonts w:ascii="Calibri" w:hAnsi="Calibri" w:eastAsia="Times New Roman" w:cs="Times New Roman"/>
      <w:sz w:val="20"/>
      <w:szCs w:val="20"/>
    </w:rPr>
  </w:style>
  <w:style w:type="character" w:styleId="1323">
    <w:name w:val="endnote reference"/>
    <w:rPr>
      <w:vertAlign w:val="superscript"/>
    </w:rPr>
  </w:style>
  <w:style w:type="table" w:styleId="1324" w:customStyle="1">
    <w:name w:val="Сетка таблицы2"/>
    <w:basedOn w:val="914"/>
    <w:next w:val="1108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325" w:customStyle="1">
    <w:name w:val="Сетка таблицы3"/>
    <w:basedOn w:val="914"/>
    <w:next w:val="1108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326" w:customStyle="1">
    <w:name w:val="Сетка таблицы4"/>
    <w:basedOn w:val="914"/>
    <w:next w:val="1108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327" w:customStyle="1">
    <w:name w:val="Сетка таблицы5"/>
    <w:basedOn w:val="914"/>
    <w:next w:val="1108"/>
    <w:uiPriority w:val="59"/>
    <w:pPr>
      <w:spacing w:after="0" w:line="240" w:lineRule="auto"/>
    </w:pPr>
    <w:rPr>
      <w:rFonts w:ascii="Arial Unicode MS" w:hAnsi="Arial Unicode MS" w:eastAsia="Arial Unicode MS" w:cs="Arial Unicode MS"/>
      <w:sz w:val="24"/>
      <w:szCs w:val="24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328" w:customStyle="1">
    <w:name w:val="Сетка таблицы6"/>
    <w:basedOn w:val="914"/>
    <w:next w:val="1108"/>
    <w:uiPriority w:val="59"/>
    <w:pPr>
      <w:spacing w:after="0" w:line="240" w:lineRule="auto"/>
    </w:pPr>
    <w:rPr>
      <w:rFonts w:ascii="Arial Unicode MS" w:hAnsi="Arial Unicode MS" w:eastAsia="Arial Unicode MS" w:cs="Arial Unicode MS"/>
      <w:sz w:val="24"/>
      <w:szCs w:val="24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329" w:customStyle="1">
    <w:name w:val="Гипертекстовая ссылка"/>
    <w:rPr>
      <w:b/>
      <w:bCs/>
      <w:color w:val="008000"/>
      <w:sz w:val="20"/>
      <w:szCs w:val="20"/>
      <w:u w:val="single"/>
    </w:rPr>
  </w:style>
  <w:style w:type="paragraph" w:styleId="1330" w:customStyle="1">
    <w:name w:val="Таблицы (моноширинный)"/>
    <w:basedOn w:val="903"/>
    <w:next w:val="903"/>
    <w:pPr>
      <w:jc w:val="both"/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zh-CN"/>
    </w:rPr>
  </w:style>
  <w:style w:type="paragraph" w:styleId="1331" w:customStyle="1">
    <w:name w:val="Основной текст с отступом1"/>
    <w:basedOn w:val="903"/>
    <w:pPr>
      <w:ind w:firstLine="420"/>
      <w:jc w:val="both"/>
      <w:spacing w:after="0" w:line="240" w:lineRule="auto"/>
    </w:pPr>
    <w:rPr>
      <w:rFonts w:ascii="Times New Roman" w:hAnsi="Times New Roman" w:eastAsia="Times New Roman" w:cs="Times New Roman"/>
      <w:spacing w:val="-3"/>
      <w:sz w:val="20"/>
      <w:szCs w:val="24"/>
      <w:lang w:eastAsia="ru-RU"/>
    </w:rPr>
  </w:style>
  <w:style w:type="character" w:styleId="1332" w:customStyle="1">
    <w:name w:val="Font Style37"/>
    <w:rPr>
      <w:rFonts w:hint="default" w:ascii="Times New Roman" w:hAnsi="Times New Roman" w:cs="Times New Roman"/>
      <w:sz w:val="22"/>
      <w:szCs w:val="22"/>
    </w:rPr>
  </w:style>
  <w:style w:type="paragraph" w:styleId="1333" w:customStyle="1">
    <w:name w:val="Подподпункт"/>
    <w:basedOn w:val="1172"/>
    <w:pPr>
      <w:ind w:left="567" w:hanging="567"/>
      <w:tabs>
        <w:tab w:val="num" w:pos="567" w:leader="none"/>
        <w:tab w:val="clear" w:pos="1494" w:leader="none"/>
      </w:tabs>
    </w:pPr>
  </w:style>
  <w:style w:type="paragraph" w:styleId="1334">
    <w:name w:val="Caption"/>
    <w:basedOn w:val="903"/>
    <w:next w:val="903"/>
    <w:qFormat/>
    <w:pPr>
      <w:ind w:left="284" w:right="45" w:firstLine="425"/>
      <w:jc w:val="both"/>
      <w:spacing w:before="120" w:after="0" w:line="240" w:lineRule="auto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1335" w:customStyle="1">
    <w:name w:val="Параграф"/>
    <w:basedOn w:val="903"/>
    <w:link w:val="1336"/>
    <w:qFormat/>
    <w:pPr>
      <w:ind w:firstLine="567"/>
      <w:jc w:val="both"/>
      <w:spacing w:after="0" w:line="240" w:lineRule="auto"/>
    </w:pPr>
    <w:rPr>
      <w:rFonts w:ascii="Times New Roman" w:hAnsi="Times New Roman" w:eastAsia="Times New Roman" w:cs="Times New Roman"/>
      <w:lang w:eastAsia="ru-RU"/>
    </w:rPr>
  </w:style>
  <w:style w:type="character" w:styleId="1336" w:customStyle="1">
    <w:name w:val="paragraph Знак"/>
    <w:link w:val="1335"/>
    <w:rPr>
      <w:rFonts w:ascii="Times New Roman" w:hAnsi="Times New Roman" w:eastAsia="Times New Roman" w:cs="Times New Roman"/>
      <w:lang w:eastAsia="ru-RU"/>
    </w:rPr>
  </w:style>
  <w:style w:type="paragraph" w:styleId="1337" w:customStyle="1">
    <w:name w:val="Style2"/>
    <w:basedOn w:val="903"/>
    <w:uiPriority w:val="99"/>
    <w:pPr>
      <w:spacing w:after="0" w:line="320" w:lineRule="exact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38" w:customStyle="1">
    <w:name w:val="Style6"/>
    <w:basedOn w:val="903"/>
    <w:uiPriority w:val="99"/>
    <w:pPr>
      <w:ind w:hanging="365"/>
      <w:spacing w:after="0" w:line="245" w:lineRule="exact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339" w:customStyle="1">
    <w:name w:val="Font Style51"/>
    <w:uiPriority w:val="99"/>
    <w:rPr>
      <w:rFonts w:ascii="Times New Roman" w:hAnsi="Times New Roman" w:cs="Times New Roman"/>
      <w:b/>
      <w:bCs/>
      <w:sz w:val="22"/>
      <w:szCs w:val="22"/>
    </w:rPr>
  </w:style>
  <w:style w:type="character" w:styleId="1340" w:customStyle="1">
    <w:name w:val="Font Style61"/>
    <w:uiPriority w:val="99"/>
    <w:rPr>
      <w:rFonts w:ascii="Times New Roman" w:hAnsi="Times New Roman" w:cs="Times New Roman"/>
      <w:sz w:val="22"/>
      <w:szCs w:val="22"/>
    </w:rPr>
  </w:style>
  <w:style w:type="character" w:styleId="1341">
    <w:name w:val="Strong"/>
    <w:uiPriority w:val="22"/>
    <w:qFormat/>
    <w:rPr>
      <w:b/>
      <w:bCs/>
    </w:rPr>
  </w:style>
  <w:style w:type="character" w:styleId="1342">
    <w:name w:val="Emphasis"/>
    <w:uiPriority w:val="20"/>
    <w:qFormat/>
    <w:rPr>
      <w:i/>
      <w:iCs/>
    </w:rPr>
  </w:style>
  <w:style w:type="character" w:styleId="1343">
    <w:name w:val="Subtle Emphasis"/>
    <w:uiPriority w:val="19"/>
    <w:qFormat/>
    <w:rPr>
      <w:i/>
      <w:iCs/>
      <w:color w:val="808080"/>
    </w:rPr>
  </w:style>
  <w:style w:type="character" w:styleId="1344">
    <w:name w:val="Intense Emphasis"/>
    <w:uiPriority w:val="21"/>
    <w:qFormat/>
    <w:rPr>
      <w:b/>
      <w:bCs/>
      <w:i/>
      <w:iCs/>
      <w:color w:val="4f81bd"/>
    </w:rPr>
  </w:style>
  <w:style w:type="character" w:styleId="1345">
    <w:name w:val="FollowedHyperlink"/>
    <w:uiPriority w:val="99"/>
    <w:unhideWhenUsed/>
    <w:rPr>
      <w:color w:val="800080"/>
      <w:u w:val="single"/>
    </w:rPr>
  </w:style>
  <w:style w:type="paragraph" w:styleId="1346" w:customStyle="1">
    <w:name w:val="xl65"/>
    <w:basedOn w:val="903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47" w:customStyle="1">
    <w:name w:val="xl66"/>
    <w:basedOn w:val="903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48" w:customStyle="1">
    <w:name w:val="xl67"/>
    <w:basedOn w:val="903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49" w:customStyle="1">
    <w:name w:val="xl68"/>
    <w:basedOn w:val="903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50" w:customStyle="1">
    <w:name w:val="xl69"/>
    <w:basedOn w:val="903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51" w:customStyle="1">
    <w:name w:val="xl70"/>
    <w:basedOn w:val="903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52" w:customStyle="1">
    <w:name w:val="xl71"/>
    <w:basedOn w:val="903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53" w:customStyle="1">
    <w:name w:val="xl72"/>
    <w:basedOn w:val="903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54" w:customStyle="1">
    <w:name w:val="xl73"/>
    <w:basedOn w:val="903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55" w:customStyle="1">
    <w:name w:val="xl74"/>
    <w:basedOn w:val="903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1356" w:customStyle="1">
    <w:name w:val="xl75"/>
    <w:basedOn w:val="903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1357" w:customStyle="1">
    <w:name w:val="xl76"/>
    <w:basedOn w:val="903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58" w:customStyle="1">
    <w:name w:val="xl77"/>
    <w:basedOn w:val="903"/>
    <w:pPr>
      <w:jc w:val="center"/>
      <w:spacing w:before="100" w:beforeAutospacing="1" w:after="100" w:afterAutospacing="1" w:line="240" w:lineRule="auto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59" w:customStyle="1">
    <w:name w:val="xl78"/>
    <w:basedOn w:val="903"/>
    <w:pPr>
      <w:jc w:val="center"/>
      <w:spacing w:before="100" w:beforeAutospacing="1" w:after="100" w:afterAutospacing="1" w:line="240" w:lineRule="auto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1360" w:customStyle="1">
    <w:name w:val="xl79"/>
    <w:basedOn w:val="903"/>
    <w:pPr>
      <w:spacing w:before="100" w:beforeAutospacing="1" w:after="100" w:afterAutospacing="1" w:line="240" w:lineRule="auto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61" w:customStyle="1">
    <w:name w:val="xl80"/>
    <w:basedOn w:val="903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62" w:customStyle="1">
    <w:name w:val="xl81"/>
    <w:basedOn w:val="903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63" w:customStyle="1">
    <w:name w:val="xl82"/>
    <w:basedOn w:val="903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64" w:customStyle="1">
    <w:name w:val="xl83"/>
    <w:basedOn w:val="903"/>
    <w:pPr>
      <w:jc w:val="center"/>
      <w:spacing w:before="100" w:beforeAutospacing="1" w:after="100" w:afterAutospacing="1" w:line="240" w:lineRule="auto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65" w:customStyle="1">
    <w:name w:val="xl84"/>
    <w:basedOn w:val="903"/>
    <w:pPr>
      <w:jc w:val="center"/>
      <w:spacing w:before="100" w:beforeAutospacing="1" w:after="100" w:afterAutospacing="1" w:line="240" w:lineRule="auto"/>
      <w:shd w:val="clear" w:color="000000" w:fill="c000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66" w:customStyle="1">
    <w:name w:val="xl85"/>
    <w:basedOn w:val="903"/>
    <w:pPr>
      <w:jc w:val="center"/>
      <w:spacing w:before="100" w:beforeAutospacing="1" w:after="100" w:afterAutospacing="1" w:line="240" w:lineRule="auto"/>
      <w:shd w:val="clear" w:color="000000" w:fill="c000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1367" w:customStyle="1">
    <w:name w:val="xl86"/>
    <w:basedOn w:val="903"/>
    <w:pPr>
      <w:spacing w:before="100" w:beforeAutospacing="1" w:after="100" w:afterAutospacing="1" w:line="240" w:lineRule="auto"/>
      <w:shd w:val="clear" w:color="000000" w:fill="c000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68" w:customStyle="1">
    <w:name w:val="xl87"/>
    <w:basedOn w:val="903"/>
    <w:pPr>
      <w:jc w:val="center"/>
      <w:spacing w:before="100" w:beforeAutospacing="1" w:after="100" w:afterAutospacing="1" w:line="240" w:lineRule="auto"/>
      <w:shd w:val="clear" w:color="000000" w:fill="c000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69" w:customStyle="1">
    <w:name w:val="xl88"/>
    <w:basedOn w:val="903"/>
    <w:pPr>
      <w:jc w:val="center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1370">
    <w:name w:val="List 2"/>
    <w:basedOn w:val="903"/>
    <w:pPr>
      <w:contextualSpacing/>
      <w:ind w:left="566" w:hanging="283"/>
    </w:pPr>
    <w:rPr>
      <w:rFonts w:ascii="Calibri" w:hAnsi="Calibri" w:eastAsia="Times New Roman" w:cs="Times New Roman"/>
    </w:rPr>
  </w:style>
  <w:style w:type="paragraph" w:styleId="1371" w:customStyle="1">
    <w:name w:val="Основной текст 22"/>
    <w:basedOn w:val="903"/>
    <w:pPr>
      <w:spacing w:after="0" w:line="360" w:lineRule="auto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1372" w:customStyle="1">
    <w:name w:val="Font Style100"/>
    <w:rPr>
      <w:rFonts w:ascii="Times New Roman" w:hAnsi="Times New Roman" w:cs="Times New Roman"/>
      <w:b/>
      <w:bCs/>
      <w:sz w:val="22"/>
      <w:szCs w:val="22"/>
    </w:rPr>
  </w:style>
  <w:style w:type="paragraph" w:styleId="1373" w:customStyle="1">
    <w:name w:val="Style33"/>
    <w:basedOn w:val="903"/>
    <w:pPr>
      <w:ind w:firstLine="554"/>
      <w:jc w:val="both"/>
      <w:spacing w:after="0" w:line="274" w:lineRule="exact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74" w:customStyle="1">
    <w:name w:val="Style18"/>
    <w:basedOn w:val="903"/>
    <w:pPr>
      <w:ind w:firstLine="144"/>
      <w:spacing w:after="0" w:line="254" w:lineRule="exact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375" w:customStyle="1">
    <w:name w:val="Font Style101"/>
    <w:rPr>
      <w:rFonts w:ascii="Times New Roman" w:hAnsi="Times New Roman" w:cs="Times New Roman"/>
      <w:sz w:val="20"/>
      <w:szCs w:val="20"/>
    </w:rPr>
  </w:style>
  <w:style w:type="paragraph" w:styleId="1376" w:customStyle="1">
    <w:name w:val="Style49"/>
    <w:basedOn w:val="903"/>
    <w:pPr>
      <w:jc w:val="both"/>
      <w:spacing w:after="0" w:line="274" w:lineRule="exact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377" w:customStyle="1">
    <w:name w:val="Неразрешенное упоминание1"/>
    <w:basedOn w:val="913"/>
    <w:uiPriority w:val="99"/>
    <w:semiHidden/>
    <w:unhideWhenUsed/>
    <w:rPr>
      <w:color w:val="605e5c"/>
      <w:shd w:val="clear" w:color="auto" w:fill="e1dfdd"/>
    </w:rPr>
  </w:style>
  <w:style w:type="paragraph" w:styleId="1378" w:customStyle="1">
    <w:name w:val="Обычный11"/>
    <w:link w:val="1573"/>
    <w:pPr>
      <w:ind w:firstLine="720"/>
      <w:jc w:val="both"/>
      <w:spacing w:after="0" w:line="240" w:lineRule="auto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1379" w:customStyle="1">
    <w:name w:val="Font Style20"/>
    <w:uiPriority w:val="99"/>
    <w:rPr>
      <w:rFonts w:ascii="Times New Roman" w:hAnsi="Times New Roman" w:cs="Times New Roman"/>
      <w:sz w:val="22"/>
      <w:szCs w:val="22"/>
    </w:rPr>
  </w:style>
  <w:style w:type="paragraph" w:styleId="1380">
    <w:name w:val="HTML Address"/>
    <w:basedOn w:val="903"/>
    <w:link w:val="1381"/>
    <w:uiPriority w:val="99"/>
    <w:semiHidden/>
    <w:unhideWhenUsed/>
    <w:pPr>
      <w:spacing w:after="0" w:line="240" w:lineRule="auto"/>
    </w:pPr>
    <w:rPr>
      <w:rFonts w:ascii="Calibri" w:hAnsi="Calibri" w:eastAsia="Calibri" w:cs="Times New Roman"/>
      <w:i/>
      <w:iCs/>
    </w:rPr>
  </w:style>
  <w:style w:type="character" w:styleId="1381" w:customStyle="1">
    <w:name w:val="Адрес HTML Знак"/>
    <w:basedOn w:val="913"/>
    <w:link w:val="1380"/>
    <w:uiPriority w:val="99"/>
    <w:semiHidden/>
    <w:rPr>
      <w:rFonts w:ascii="Calibri" w:hAnsi="Calibri" w:eastAsia="Calibri" w:cs="Times New Roman"/>
      <w:i/>
      <w:iCs/>
    </w:rPr>
  </w:style>
  <w:style w:type="paragraph" w:styleId="1382">
    <w:name w:val="envelope address"/>
    <w:basedOn w:val="903"/>
    <w:uiPriority w:val="99"/>
    <w:semiHidden/>
    <w:unhideWhenUsed/>
    <w:pPr>
      <w:ind w:left="2880"/>
      <w:spacing w:after="0" w:line="240" w:lineRule="auto"/>
      <w:framePr w:w="7920" w:h="1980" w:hSpace="180" w:wrap="auto" w:hAnchor="page" w:xAlign="center" w:yAlign="bottom" w:hRule="exact"/>
    </w:pPr>
    <w:rPr>
      <w:rFonts w:ascii="Calibri Light" w:hAnsi="Calibri Light" w:eastAsia="Times New Roman" w:cs="Times New Roman"/>
      <w:sz w:val="24"/>
      <w:szCs w:val="24"/>
    </w:rPr>
  </w:style>
  <w:style w:type="paragraph" w:styleId="1383">
    <w:name w:val="Intense Quote"/>
    <w:basedOn w:val="903"/>
    <w:next w:val="903"/>
    <w:link w:val="1384"/>
    <w:uiPriority w:val="30"/>
    <w:qFormat/>
    <w:pPr>
      <w:ind w:left="864" w:right="864"/>
      <w:jc w:val="center"/>
      <w:spacing w:before="360" w:after="360"/>
      <w:pBdr>
        <w:top w:val="single" w:color="4472C4" w:sz="4" w:space="10"/>
        <w:bottom w:val="single" w:color="4472C4" w:sz="4" w:space="10"/>
      </w:pBdr>
    </w:pPr>
    <w:rPr>
      <w:rFonts w:ascii="Calibri" w:hAnsi="Calibri" w:eastAsia="Calibri" w:cs="Times New Roman"/>
      <w:i/>
      <w:iCs/>
      <w:color w:val="4472c4"/>
    </w:rPr>
  </w:style>
  <w:style w:type="character" w:styleId="1384" w:customStyle="1">
    <w:name w:val="Выделенная цитата Знак"/>
    <w:basedOn w:val="913"/>
    <w:link w:val="1383"/>
    <w:uiPriority w:val="30"/>
    <w:rPr>
      <w:rFonts w:ascii="Calibri" w:hAnsi="Calibri" w:eastAsia="Calibri" w:cs="Times New Roman"/>
      <w:i/>
      <w:iCs/>
      <w:color w:val="4472c4"/>
    </w:rPr>
  </w:style>
  <w:style w:type="paragraph" w:styleId="1385">
    <w:name w:val="Date"/>
    <w:basedOn w:val="903"/>
    <w:next w:val="903"/>
    <w:link w:val="1386"/>
    <w:uiPriority w:val="99"/>
    <w:semiHidden/>
    <w:unhideWhenUsed/>
    <w:rPr>
      <w:rFonts w:ascii="Calibri" w:hAnsi="Calibri" w:eastAsia="Calibri" w:cs="Times New Roman"/>
    </w:rPr>
  </w:style>
  <w:style w:type="character" w:styleId="1386" w:customStyle="1">
    <w:name w:val="Дата Знак"/>
    <w:basedOn w:val="913"/>
    <w:link w:val="1385"/>
    <w:uiPriority w:val="99"/>
    <w:semiHidden/>
    <w:rPr>
      <w:rFonts w:ascii="Calibri" w:hAnsi="Calibri" w:eastAsia="Calibri" w:cs="Times New Roman"/>
    </w:rPr>
  </w:style>
  <w:style w:type="paragraph" w:styleId="1387">
    <w:name w:val="Note Heading"/>
    <w:basedOn w:val="903"/>
    <w:next w:val="903"/>
    <w:link w:val="1388"/>
    <w:uiPriority w:val="99"/>
    <w:semiHidden/>
    <w:unhideWhenUsed/>
    <w:pPr>
      <w:spacing w:after="0" w:line="240" w:lineRule="auto"/>
    </w:pPr>
    <w:rPr>
      <w:rFonts w:ascii="Calibri" w:hAnsi="Calibri" w:eastAsia="Calibri" w:cs="Times New Roman"/>
    </w:rPr>
  </w:style>
  <w:style w:type="character" w:styleId="1388" w:customStyle="1">
    <w:name w:val="Заголовок записки Знак"/>
    <w:basedOn w:val="913"/>
    <w:link w:val="1387"/>
    <w:uiPriority w:val="99"/>
    <w:semiHidden/>
    <w:rPr>
      <w:rFonts w:ascii="Calibri" w:hAnsi="Calibri" w:eastAsia="Calibri" w:cs="Times New Roman"/>
    </w:rPr>
  </w:style>
  <w:style w:type="paragraph" w:styleId="1389">
    <w:name w:val="TOC Heading"/>
    <w:basedOn w:val="904"/>
    <w:next w:val="903"/>
    <w:uiPriority w:val="39"/>
    <w:unhideWhenUsed/>
    <w:qFormat/>
    <w:pPr>
      <w:outlineLvl w:val="9"/>
    </w:pPr>
    <w:rPr>
      <w:rFonts w:ascii="Calibri Light" w:hAnsi="Calibri Light" w:eastAsia="Times New Roman" w:cs="Times New Roman"/>
      <w:color w:val="2f5496"/>
    </w:rPr>
  </w:style>
  <w:style w:type="paragraph" w:styleId="1390">
    <w:name w:val="toa heading"/>
    <w:basedOn w:val="903"/>
    <w:next w:val="903"/>
    <w:uiPriority w:val="99"/>
    <w:semiHidden/>
    <w:unhideWhenUsed/>
    <w:pPr>
      <w:spacing w:before="120"/>
    </w:pPr>
    <w:rPr>
      <w:rFonts w:ascii="Calibri Light" w:hAnsi="Calibri Light" w:eastAsia="Times New Roman" w:cs="Times New Roman"/>
      <w:b/>
      <w:bCs/>
      <w:sz w:val="24"/>
      <w:szCs w:val="24"/>
    </w:rPr>
  </w:style>
  <w:style w:type="paragraph" w:styleId="1391">
    <w:name w:val="Body Text First Indent"/>
    <w:basedOn w:val="1109"/>
    <w:link w:val="1392"/>
    <w:uiPriority w:val="99"/>
    <w:semiHidden/>
    <w:unhideWhenUsed/>
    <w:pPr>
      <w:ind w:firstLine="360"/>
      <w:jc w:val="left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1392" w:customStyle="1">
    <w:name w:val="Красная строка Знак"/>
    <w:basedOn w:val="1110"/>
    <w:link w:val="1391"/>
    <w:uiPriority w:val="99"/>
    <w:semiHidden/>
    <w:rPr>
      <w:rFonts w:ascii="Calibri" w:hAnsi="Calibri" w:eastAsia="Calibri" w:cs="Times New Roman"/>
      <w:sz w:val="28"/>
      <w:szCs w:val="20"/>
      <w:lang w:eastAsia="ru-RU"/>
    </w:rPr>
  </w:style>
  <w:style w:type="paragraph" w:styleId="1393">
    <w:name w:val="Body Text First Indent 2"/>
    <w:basedOn w:val="1120"/>
    <w:link w:val="1394"/>
    <w:uiPriority w:val="99"/>
    <w:semiHidden/>
    <w:unhideWhenUsed/>
    <w:pPr>
      <w:ind w:left="360" w:firstLine="360"/>
      <w:spacing w:after="200"/>
    </w:pPr>
    <w:rPr>
      <w:rFonts w:ascii="Calibri" w:hAnsi="Calibri" w:eastAsia="Calibri" w:cs="Times New Roman"/>
    </w:rPr>
  </w:style>
  <w:style w:type="character" w:styleId="1394" w:customStyle="1">
    <w:name w:val="Красная строка 2 Знак"/>
    <w:basedOn w:val="1121"/>
    <w:link w:val="1393"/>
    <w:uiPriority w:val="99"/>
    <w:semiHidden/>
    <w:rPr>
      <w:rFonts w:ascii="Calibri" w:hAnsi="Calibri" w:eastAsia="Calibri" w:cs="Times New Roman"/>
    </w:rPr>
  </w:style>
  <w:style w:type="paragraph" w:styleId="1395">
    <w:name w:val="List Bullet 3"/>
    <w:basedOn w:val="903"/>
    <w:uiPriority w:val="99"/>
    <w:semiHidden/>
    <w:unhideWhenUsed/>
    <w:pPr>
      <w:numPr>
        <w:ilvl w:val="0"/>
        <w:numId w:val="19"/>
      </w:numPr>
      <w:contextualSpacing/>
    </w:pPr>
    <w:rPr>
      <w:rFonts w:ascii="Calibri" w:hAnsi="Calibri" w:eastAsia="Calibri" w:cs="Times New Roman"/>
    </w:rPr>
  </w:style>
  <w:style w:type="paragraph" w:styleId="1396">
    <w:name w:val="List Bullet 4"/>
    <w:basedOn w:val="903"/>
    <w:uiPriority w:val="99"/>
    <w:semiHidden/>
    <w:unhideWhenUsed/>
    <w:pPr>
      <w:numPr>
        <w:ilvl w:val="0"/>
        <w:numId w:val="20"/>
      </w:numPr>
      <w:contextualSpacing/>
    </w:pPr>
    <w:rPr>
      <w:rFonts w:ascii="Calibri" w:hAnsi="Calibri" w:eastAsia="Calibri" w:cs="Times New Roman"/>
    </w:rPr>
  </w:style>
  <w:style w:type="paragraph" w:styleId="1397">
    <w:name w:val="List Bullet 5"/>
    <w:basedOn w:val="903"/>
    <w:uiPriority w:val="99"/>
    <w:semiHidden/>
    <w:unhideWhenUsed/>
    <w:pPr>
      <w:numPr>
        <w:ilvl w:val="0"/>
        <w:numId w:val="21"/>
      </w:numPr>
      <w:contextualSpacing/>
    </w:pPr>
    <w:rPr>
      <w:rFonts w:ascii="Calibri" w:hAnsi="Calibri" w:eastAsia="Calibri" w:cs="Times New Roman"/>
    </w:rPr>
  </w:style>
  <w:style w:type="paragraph" w:styleId="1398">
    <w:name w:val="List Number"/>
    <w:basedOn w:val="903"/>
    <w:uiPriority w:val="99"/>
    <w:semiHidden/>
    <w:unhideWhenUsed/>
    <w:pPr>
      <w:numPr>
        <w:ilvl w:val="0"/>
        <w:numId w:val="22"/>
      </w:numPr>
      <w:contextualSpacing/>
    </w:pPr>
    <w:rPr>
      <w:rFonts w:ascii="Calibri" w:hAnsi="Calibri" w:eastAsia="Calibri" w:cs="Times New Roman"/>
    </w:rPr>
  </w:style>
  <w:style w:type="paragraph" w:styleId="1399">
    <w:name w:val="List Number 2"/>
    <w:basedOn w:val="903"/>
    <w:uiPriority w:val="99"/>
    <w:semiHidden/>
    <w:unhideWhenUsed/>
    <w:pPr>
      <w:numPr>
        <w:ilvl w:val="0"/>
        <w:numId w:val="23"/>
      </w:numPr>
      <w:contextualSpacing/>
    </w:pPr>
    <w:rPr>
      <w:rFonts w:ascii="Calibri" w:hAnsi="Calibri" w:eastAsia="Calibri" w:cs="Times New Roman"/>
    </w:rPr>
  </w:style>
  <w:style w:type="paragraph" w:styleId="1400">
    <w:name w:val="List Number 3"/>
    <w:basedOn w:val="903"/>
    <w:uiPriority w:val="99"/>
    <w:semiHidden/>
    <w:unhideWhenUsed/>
    <w:pPr>
      <w:numPr>
        <w:ilvl w:val="0"/>
        <w:numId w:val="24"/>
      </w:numPr>
      <w:contextualSpacing/>
    </w:pPr>
    <w:rPr>
      <w:rFonts w:ascii="Calibri" w:hAnsi="Calibri" w:eastAsia="Calibri" w:cs="Times New Roman"/>
    </w:rPr>
  </w:style>
  <w:style w:type="paragraph" w:styleId="1401">
    <w:name w:val="List Number 4"/>
    <w:basedOn w:val="903"/>
    <w:uiPriority w:val="99"/>
    <w:semiHidden/>
    <w:unhideWhenUsed/>
    <w:pPr>
      <w:numPr>
        <w:ilvl w:val="0"/>
        <w:numId w:val="25"/>
      </w:numPr>
      <w:contextualSpacing/>
    </w:pPr>
    <w:rPr>
      <w:rFonts w:ascii="Calibri" w:hAnsi="Calibri" w:eastAsia="Calibri" w:cs="Times New Roman"/>
    </w:rPr>
  </w:style>
  <w:style w:type="paragraph" w:styleId="1402">
    <w:name w:val="List Number 5"/>
    <w:basedOn w:val="903"/>
    <w:uiPriority w:val="99"/>
    <w:semiHidden/>
    <w:unhideWhenUsed/>
    <w:pPr>
      <w:numPr>
        <w:ilvl w:val="0"/>
        <w:numId w:val="26"/>
      </w:numPr>
      <w:contextualSpacing/>
    </w:pPr>
    <w:rPr>
      <w:rFonts w:ascii="Calibri" w:hAnsi="Calibri" w:eastAsia="Calibri" w:cs="Times New Roman"/>
    </w:rPr>
  </w:style>
  <w:style w:type="paragraph" w:styleId="1403">
    <w:name w:val="envelope return"/>
    <w:basedOn w:val="903"/>
    <w:uiPriority w:val="99"/>
    <w:semiHidden/>
    <w:unhideWhenUsed/>
    <w:pPr>
      <w:spacing w:after="0" w:line="240" w:lineRule="auto"/>
    </w:pPr>
    <w:rPr>
      <w:rFonts w:ascii="Calibri Light" w:hAnsi="Calibri Light" w:eastAsia="Times New Roman" w:cs="Times New Roman"/>
      <w:sz w:val="20"/>
      <w:szCs w:val="20"/>
    </w:rPr>
  </w:style>
  <w:style w:type="paragraph" w:styleId="1404">
    <w:name w:val="Normal Indent"/>
    <w:basedOn w:val="903"/>
    <w:uiPriority w:val="99"/>
    <w:semiHidden/>
    <w:unhideWhenUsed/>
    <w:pPr>
      <w:ind w:left="708"/>
    </w:pPr>
    <w:rPr>
      <w:rFonts w:ascii="Calibri" w:hAnsi="Calibri" w:eastAsia="Calibri" w:cs="Times New Roman"/>
    </w:rPr>
  </w:style>
  <w:style w:type="paragraph" w:styleId="1405">
    <w:name w:val="toc 3"/>
    <w:basedOn w:val="903"/>
    <w:next w:val="903"/>
    <w:uiPriority w:val="39"/>
    <w:unhideWhenUsed/>
    <w:pPr>
      <w:ind w:left="440"/>
      <w:spacing w:after="100"/>
    </w:pPr>
    <w:rPr>
      <w:rFonts w:ascii="Calibri" w:hAnsi="Calibri" w:eastAsia="Calibri" w:cs="Times New Roman"/>
    </w:rPr>
  </w:style>
  <w:style w:type="paragraph" w:styleId="1406">
    <w:name w:val="toc 4"/>
    <w:basedOn w:val="903"/>
    <w:next w:val="903"/>
    <w:uiPriority w:val="39"/>
    <w:unhideWhenUsed/>
    <w:pPr>
      <w:ind w:left="660"/>
      <w:spacing w:after="100"/>
    </w:pPr>
    <w:rPr>
      <w:rFonts w:ascii="Calibri" w:hAnsi="Calibri" w:eastAsia="Calibri" w:cs="Times New Roman"/>
    </w:rPr>
  </w:style>
  <w:style w:type="paragraph" w:styleId="1407">
    <w:name w:val="toc 5"/>
    <w:basedOn w:val="903"/>
    <w:next w:val="903"/>
    <w:uiPriority w:val="39"/>
    <w:unhideWhenUsed/>
    <w:pPr>
      <w:ind w:left="880"/>
      <w:spacing w:after="100"/>
    </w:pPr>
    <w:rPr>
      <w:rFonts w:ascii="Calibri" w:hAnsi="Calibri" w:eastAsia="Calibri" w:cs="Times New Roman"/>
    </w:rPr>
  </w:style>
  <w:style w:type="paragraph" w:styleId="1408">
    <w:name w:val="table of figures"/>
    <w:basedOn w:val="903"/>
    <w:next w:val="903"/>
    <w:uiPriority w:val="99"/>
    <w:unhideWhenUsed/>
    <w:pPr>
      <w:spacing w:after="0"/>
    </w:pPr>
    <w:rPr>
      <w:rFonts w:ascii="Calibri" w:hAnsi="Calibri" w:eastAsia="Calibri" w:cs="Times New Roman"/>
    </w:rPr>
  </w:style>
  <w:style w:type="paragraph" w:styleId="1409">
    <w:name w:val="Signature"/>
    <w:basedOn w:val="903"/>
    <w:link w:val="1410"/>
    <w:uiPriority w:val="99"/>
    <w:semiHidden/>
    <w:unhideWhenUsed/>
    <w:pPr>
      <w:ind w:left="4252"/>
      <w:spacing w:after="0" w:line="240" w:lineRule="auto"/>
    </w:pPr>
    <w:rPr>
      <w:rFonts w:ascii="Calibri" w:hAnsi="Calibri" w:eastAsia="Calibri" w:cs="Times New Roman"/>
    </w:rPr>
  </w:style>
  <w:style w:type="character" w:styleId="1410" w:customStyle="1">
    <w:name w:val="Подпись Знак"/>
    <w:basedOn w:val="913"/>
    <w:link w:val="1409"/>
    <w:uiPriority w:val="99"/>
    <w:semiHidden/>
    <w:rPr>
      <w:rFonts w:ascii="Calibri" w:hAnsi="Calibri" w:eastAsia="Calibri" w:cs="Times New Roman"/>
    </w:rPr>
  </w:style>
  <w:style w:type="paragraph" w:styleId="1411">
    <w:name w:val="Salutation"/>
    <w:basedOn w:val="903"/>
    <w:next w:val="903"/>
    <w:link w:val="1412"/>
    <w:uiPriority w:val="99"/>
    <w:semiHidden/>
    <w:unhideWhenUsed/>
    <w:rPr>
      <w:rFonts w:ascii="Calibri" w:hAnsi="Calibri" w:eastAsia="Calibri" w:cs="Times New Roman"/>
    </w:rPr>
  </w:style>
  <w:style w:type="character" w:styleId="1412" w:customStyle="1">
    <w:name w:val="Приветствие Знак"/>
    <w:basedOn w:val="913"/>
    <w:link w:val="1411"/>
    <w:uiPriority w:val="99"/>
    <w:semiHidden/>
    <w:rPr>
      <w:rFonts w:ascii="Calibri" w:hAnsi="Calibri" w:eastAsia="Calibri" w:cs="Times New Roman"/>
    </w:rPr>
  </w:style>
  <w:style w:type="paragraph" w:styleId="1413">
    <w:name w:val="List Continue"/>
    <w:basedOn w:val="903"/>
    <w:uiPriority w:val="99"/>
    <w:semiHidden/>
    <w:unhideWhenUsed/>
    <w:pPr>
      <w:contextualSpacing/>
      <w:ind w:left="283"/>
      <w:spacing w:after="120"/>
    </w:pPr>
    <w:rPr>
      <w:rFonts w:ascii="Calibri" w:hAnsi="Calibri" w:eastAsia="Calibri" w:cs="Times New Roman"/>
    </w:rPr>
  </w:style>
  <w:style w:type="paragraph" w:styleId="1414">
    <w:name w:val="List Continue 4"/>
    <w:basedOn w:val="903"/>
    <w:uiPriority w:val="99"/>
    <w:semiHidden/>
    <w:unhideWhenUsed/>
    <w:pPr>
      <w:contextualSpacing/>
      <w:ind w:left="1132"/>
      <w:spacing w:after="120"/>
    </w:pPr>
    <w:rPr>
      <w:rFonts w:ascii="Calibri" w:hAnsi="Calibri" w:eastAsia="Calibri" w:cs="Times New Roman"/>
    </w:rPr>
  </w:style>
  <w:style w:type="paragraph" w:styleId="1415">
    <w:name w:val="List Continue 5"/>
    <w:basedOn w:val="903"/>
    <w:uiPriority w:val="99"/>
    <w:semiHidden/>
    <w:unhideWhenUsed/>
    <w:pPr>
      <w:contextualSpacing/>
      <w:ind w:left="1415"/>
      <w:spacing w:after="120"/>
    </w:pPr>
    <w:rPr>
      <w:rFonts w:ascii="Calibri" w:hAnsi="Calibri" w:eastAsia="Calibri" w:cs="Times New Roman"/>
    </w:rPr>
  </w:style>
  <w:style w:type="paragraph" w:styleId="1416">
    <w:name w:val="Closing"/>
    <w:basedOn w:val="903"/>
    <w:link w:val="1417"/>
    <w:uiPriority w:val="99"/>
    <w:semiHidden/>
    <w:unhideWhenUsed/>
    <w:pPr>
      <w:ind w:left="4252"/>
      <w:spacing w:after="0" w:line="240" w:lineRule="auto"/>
    </w:pPr>
    <w:rPr>
      <w:rFonts w:ascii="Calibri" w:hAnsi="Calibri" w:eastAsia="Calibri" w:cs="Times New Roman"/>
    </w:rPr>
  </w:style>
  <w:style w:type="character" w:styleId="1417" w:customStyle="1">
    <w:name w:val="Прощание Знак"/>
    <w:basedOn w:val="913"/>
    <w:link w:val="1416"/>
    <w:uiPriority w:val="99"/>
    <w:semiHidden/>
    <w:rPr>
      <w:rFonts w:ascii="Calibri" w:hAnsi="Calibri" w:eastAsia="Calibri" w:cs="Times New Roman"/>
    </w:rPr>
  </w:style>
  <w:style w:type="paragraph" w:styleId="1418">
    <w:name w:val="List 3"/>
    <w:basedOn w:val="903"/>
    <w:uiPriority w:val="99"/>
    <w:semiHidden/>
    <w:unhideWhenUsed/>
    <w:pPr>
      <w:contextualSpacing/>
      <w:ind w:left="849" w:hanging="283"/>
    </w:pPr>
    <w:rPr>
      <w:rFonts w:ascii="Calibri" w:hAnsi="Calibri" w:eastAsia="Calibri" w:cs="Times New Roman"/>
    </w:rPr>
  </w:style>
  <w:style w:type="paragraph" w:styleId="1419">
    <w:name w:val="List 4"/>
    <w:basedOn w:val="903"/>
    <w:uiPriority w:val="99"/>
    <w:semiHidden/>
    <w:unhideWhenUsed/>
    <w:pPr>
      <w:contextualSpacing/>
      <w:ind w:left="1132" w:hanging="283"/>
    </w:pPr>
    <w:rPr>
      <w:rFonts w:ascii="Calibri" w:hAnsi="Calibri" w:eastAsia="Calibri" w:cs="Times New Roman"/>
    </w:rPr>
  </w:style>
  <w:style w:type="paragraph" w:styleId="1420">
    <w:name w:val="List 5"/>
    <w:basedOn w:val="903"/>
    <w:uiPriority w:val="99"/>
    <w:semiHidden/>
    <w:unhideWhenUsed/>
    <w:pPr>
      <w:contextualSpacing/>
      <w:ind w:left="1415" w:hanging="283"/>
    </w:pPr>
    <w:rPr>
      <w:rFonts w:ascii="Calibri" w:hAnsi="Calibri" w:eastAsia="Calibri" w:cs="Times New Roman"/>
    </w:rPr>
  </w:style>
  <w:style w:type="paragraph" w:styleId="1421">
    <w:name w:val="Bibliography"/>
    <w:basedOn w:val="903"/>
    <w:next w:val="903"/>
    <w:uiPriority w:val="37"/>
    <w:semiHidden/>
    <w:unhideWhenUsed/>
    <w:rPr>
      <w:rFonts w:ascii="Calibri" w:hAnsi="Calibri" w:eastAsia="Calibri" w:cs="Times New Roman"/>
    </w:rPr>
  </w:style>
  <w:style w:type="paragraph" w:styleId="1422">
    <w:name w:val="HTML Preformatted"/>
    <w:basedOn w:val="903"/>
    <w:link w:val="1423"/>
    <w:uiPriority w:val="99"/>
    <w:semiHidden/>
    <w:unhideWhenUsed/>
    <w:pPr>
      <w:spacing w:after="0" w:line="240" w:lineRule="auto"/>
    </w:pPr>
    <w:rPr>
      <w:rFonts w:ascii="Consolas" w:hAnsi="Consolas" w:eastAsia="Calibri" w:cs="Times New Roman"/>
      <w:sz w:val="20"/>
      <w:szCs w:val="20"/>
    </w:rPr>
  </w:style>
  <w:style w:type="character" w:styleId="1423" w:customStyle="1">
    <w:name w:val="Стандартный HTML Знак"/>
    <w:basedOn w:val="913"/>
    <w:link w:val="1422"/>
    <w:uiPriority w:val="99"/>
    <w:semiHidden/>
    <w:rPr>
      <w:rFonts w:ascii="Consolas" w:hAnsi="Consolas" w:eastAsia="Calibri" w:cs="Times New Roman"/>
      <w:sz w:val="20"/>
      <w:szCs w:val="20"/>
    </w:rPr>
  </w:style>
  <w:style w:type="paragraph" w:styleId="1424">
    <w:name w:val="Document Map"/>
    <w:basedOn w:val="903"/>
    <w:link w:val="1425"/>
    <w:uiPriority w:val="99"/>
    <w:semiHidden/>
    <w:unhideWhenUsed/>
    <w:pPr>
      <w:spacing w:after="0" w:line="240" w:lineRule="auto"/>
    </w:pPr>
    <w:rPr>
      <w:rFonts w:ascii="Segoe UI" w:hAnsi="Segoe UI" w:eastAsia="Calibri" w:cs="Segoe UI"/>
      <w:sz w:val="16"/>
      <w:szCs w:val="16"/>
    </w:rPr>
  </w:style>
  <w:style w:type="character" w:styleId="1425" w:customStyle="1">
    <w:name w:val="Схема документа Знак"/>
    <w:basedOn w:val="913"/>
    <w:link w:val="1424"/>
    <w:uiPriority w:val="99"/>
    <w:semiHidden/>
    <w:rPr>
      <w:rFonts w:ascii="Segoe UI" w:hAnsi="Segoe UI" w:eastAsia="Calibri" w:cs="Segoe UI"/>
      <w:sz w:val="16"/>
      <w:szCs w:val="16"/>
    </w:rPr>
  </w:style>
  <w:style w:type="paragraph" w:styleId="1426">
    <w:name w:val="table of authorities"/>
    <w:basedOn w:val="903"/>
    <w:next w:val="903"/>
    <w:uiPriority w:val="99"/>
    <w:semiHidden/>
    <w:unhideWhenUsed/>
    <w:pPr>
      <w:ind w:left="220" w:hanging="220"/>
      <w:spacing w:after="0"/>
    </w:pPr>
    <w:rPr>
      <w:rFonts w:ascii="Calibri" w:hAnsi="Calibri" w:eastAsia="Calibri" w:cs="Times New Roman"/>
    </w:rPr>
  </w:style>
  <w:style w:type="paragraph" w:styleId="1427">
    <w:name w:val="macro"/>
    <w:link w:val="1428"/>
    <w:uiPriority w:val="99"/>
    <w:semiHidden/>
    <w:unhideWhenUsed/>
    <w:pPr>
      <w:spacing w:after="0"/>
      <w:tabs>
        <w:tab w:val="left" w:pos="480" w:leader="none"/>
        <w:tab w:val="left" w:pos="960" w:leader="none"/>
        <w:tab w:val="left" w:pos="1440" w:leader="none"/>
        <w:tab w:val="left" w:pos="1920" w:leader="none"/>
        <w:tab w:val="left" w:pos="2400" w:leader="none"/>
        <w:tab w:val="left" w:pos="2880" w:leader="none"/>
        <w:tab w:val="left" w:pos="3360" w:leader="none"/>
        <w:tab w:val="left" w:pos="3840" w:leader="none"/>
        <w:tab w:val="left" w:pos="4320" w:leader="none"/>
      </w:tabs>
    </w:pPr>
    <w:rPr>
      <w:rFonts w:ascii="Consolas" w:hAnsi="Consolas" w:eastAsia="Calibri" w:cs="Times New Roman"/>
      <w:sz w:val="20"/>
      <w:szCs w:val="20"/>
    </w:rPr>
  </w:style>
  <w:style w:type="character" w:styleId="1428" w:customStyle="1">
    <w:name w:val="Текст макроса Знак"/>
    <w:basedOn w:val="913"/>
    <w:link w:val="1427"/>
    <w:uiPriority w:val="99"/>
    <w:semiHidden/>
    <w:rPr>
      <w:rFonts w:ascii="Consolas" w:hAnsi="Consolas" w:eastAsia="Calibri" w:cs="Times New Roman"/>
      <w:sz w:val="20"/>
      <w:szCs w:val="20"/>
    </w:rPr>
  </w:style>
  <w:style w:type="paragraph" w:styleId="1429">
    <w:name w:val="index 4"/>
    <w:basedOn w:val="903"/>
    <w:next w:val="903"/>
    <w:uiPriority w:val="99"/>
    <w:semiHidden/>
    <w:unhideWhenUsed/>
    <w:pPr>
      <w:ind w:left="880" w:hanging="220"/>
      <w:spacing w:after="0" w:line="240" w:lineRule="auto"/>
    </w:pPr>
    <w:rPr>
      <w:rFonts w:ascii="Calibri" w:hAnsi="Calibri" w:eastAsia="Calibri" w:cs="Times New Roman"/>
    </w:rPr>
  </w:style>
  <w:style w:type="paragraph" w:styleId="1430">
    <w:name w:val="index 5"/>
    <w:basedOn w:val="903"/>
    <w:next w:val="903"/>
    <w:uiPriority w:val="99"/>
    <w:semiHidden/>
    <w:unhideWhenUsed/>
    <w:pPr>
      <w:ind w:left="1100" w:hanging="220"/>
      <w:spacing w:after="0" w:line="240" w:lineRule="auto"/>
    </w:pPr>
    <w:rPr>
      <w:rFonts w:ascii="Calibri" w:hAnsi="Calibri" w:eastAsia="Calibri" w:cs="Times New Roman"/>
    </w:rPr>
  </w:style>
  <w:style w:type="paragraph" w:styleId="1431">
    <w:name w:val="index 6"/>
    <w:basedOn w:val="903"/>
    <w:next w:val="903"/>
    <w:uiPriority w:val="99"/>
    <w:semiHidden/>
    <w:unhideWhenUsed/>
    <w:pPr>
      <w:ind w:left="1320" w:hanging="220"/>
      <w:spacing w:after="0" w:line="240" w:lineRule="auto"/>
    </w:pPr>
    <w:rPr>
      <w:rFonts w:ascii="Calibri" w:hAnsi="Calibri" w:eastAsia="Calibri" w:cs="Times New Roman"/>
    </w:rPr>
  </w:style>
  <w:style w:type="paragraph" w:styleId="1432">
    <w:name w:val="index 7"/>
    <w:basedOn w:val="903"/>
    <w:next w:val="903"/>
    <w:uiPriority w:val="99"/>
    <w:semiHidden/>
    <w:unhideWhenUsed/>
    <w:pPr>
      <w:ind w:left="1540" w:hanging="220"/>
      <w:spacing w:after="0" w:line="240" w:lineRule="auto"/>
    </w:pPr>
    <w:rPr>
      <w:rFonts w:ascii="Calibri" w:hAnsi="Calibri" w:eastAsia="Calibri" w:cs="Times New Roman"/>
    </w:rPr>
  </w:style>
  <w:style w:type="paragraph" w:styleId="1433">
    <w:name w:val="index 8"/>
    <w:basedOn w:val="903"/>
    <w:next w:val="903"/>
    <w:uiPriority w:val="99"/>
    <w:semiHidden/>
    <w:unhideWhenUsed/>
    <w:pPr>
      <w:ind w:left="1760" w:hanging="220"/>
      <w:spacing w:after="0" w:line="240" w:lineRule="auto"/>
    </w:pPr>
    <w:rPr>
      <w:rFonts w:ascii="Calibri" w:hAnsi="Calibri" w:eastAsia="Calibri" w:cs="Times New Roman"/>
    </w:rPr>
  </w:style>
  <w:style w:type="paragraph" w:styleId="1434">
    <w:name w:val="index 9"/>
    <w:basedOn w:val="903"/>
    <w:next w:val="903"/>
    <w:uiPriority w:val="99"/>
    <w:semiHidden/>
    <w:unhideWhenUsed/>
    <w:pPr>
      <w:ind w:left="1980" w:hanging="220"/>
      <w:spacing w:after="0" w:line="240" w:lineRule="auto"/>
    </w:pPr>
    <w:rPr>
      <w:rFonts w:ascii="Calibri" w:hAnsi="Calibri" w:eastAsia="Calibri" w:cs="Times New Roman"/>
    </w:rPr>
  </w:style>
  <w:style w:type="paragraph" w:styleId="1435">
    <w:name w:val="Quote"/>
    <w:basedOn w:val="903"/>
    <w:next w:val="903"/>
    <w:link w:val="1436"/>
    <w:uiPriority w:val="29"/>
    <w:qFormat/>
    <w:pPr>
      <w:ind w:left="864" w:right="864"/>
      <w:jc w:val="center"/>
      <w:spacing w:before="200" w:after="160"/>
    </w:pPr>
    <w:rPr>
      <w:rFonts w:ascii="Calibri" w:hAnsi="Calibri" w:eastAsia="Calibri" w:cs="Times New Roman"/>
      <w:i/>
      <w:iCs/>
      <w:color w:val="404040"/>
    </w:rPr>
  </w:style>
  <w:style w:type="character" w:styleId="1436" w:customStyle="1">
    <w:name w:val="Цитата 2 Знак"/>
    <w:basedOn w:val="913"/>
    <w:link w:val="1435"/>
    <w:uiPriority w:val="29"/>
    <w:rPr>
      <w:rFonts w:ascii="Calibri" w:hAnsi="Calibri" w:eastAsia="Calibri" w:cs="Times New Roman"/>
      <w:i/>
      <w:iCs/>
      <w:color w:val="404040"/>
    </w:rPr>
  </w:style>
  <w:style w:type="paragraph" w:styleId="1437">
    <w:name w:val="Message Header"/>
    <w:basedOn w:val="903"/>
    <w:link w:val="1438"/>
    <w:uiPriority w:val="99"/>
    <w:semiHidden/>
    <w:unhideWhenUsed/>
    <w:pPr>
      <w:ind w:left="1134" w:hanging="1134"/>
      <w:spacing w:after="0" w:line="240" w:lineRule="auto"/>
      <w:shd w:val="pct20" w:color="auto" w:fill="auto"/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</w:pPr>
    <w:rPr>
      <w:rFonts w:ascii="Calibri Light" w:hAnsi="Calibri Light" w:eastAsia="Times New Roman" w:cs="Times New Roman"/>
      <w:sz w:val="24"/>
      <w:szCs w:val="24"/>
    </w:rPr>
  </w:style>
  <w:style w:type="character" w:styleId="1438" w:customStyle="1">
    <w:name w:val="Шапка Знак"/>
    <w:basedOn w:val="913"/>
    <w:link w:val="1437"/>
    <w:uiPriority w:val="99"/>
    <w:semiHidden/>
    <w:rPr>
      <w:rFonts w:ascii="Calibri Light" w:hAnsi="Calibri Light" w:eastAsia="Times New Roman" w:cs="Times New Roman"/>
      <w:sz w:val="24"/>
      <w:szCs w:val="24"/>
      <w:shd w:val="pct20" w:color="auto" w:fill="auto"/>
    </w:rPr>
  </w:style>
  <w:style w:type="paragraph" w:styleId="1439">
    <w:name w:val="E-mail Signature"/>
    <w:basedOn w:val="903"/>
    <w:link w:val="1440"/>
    <w:uiPriority w:val="99"/>
    <w:semiHidden/>
    <w:unhideWhenUsed/>
    <w:pPr>
      <w:spacing w:after="0" w:line="240" w:lineRule="auto"/>
    </w:pPr>
    <w:rPr>
      <w:rFonts w:ascii="Calibri" w:hAnsi="Calibri" w:eastAsia="Calibri" w:cs="Times New Roman"/>
    </w:rPr>
  </w:style>
  <w:style w:type="character" w:styleId="1440" w:customStyle="1">
    <w:name w:val="Электронная подпись Знак"/>
    <w:basedOn w:val="913"/>
    <w:link w:val="1439"/>
    <w:uiPriority w:val="99"/>
    <w:semiHidden/>
    <w:rPr>
      <w:rFonts w:ascii="Calibri" w:hAnsi="Calibri" w:eastAsia="Calibri" w:cs="Times New Roman"/>
    </w:rPr>
  </w:style>
  <w:style w:type="character" w:styleId="1441" w:customStyle="1">
    <w:name w:val="Body text_"/>
    <w:basedOn w:val="913"/>
    <w:rPr>
      <w:rFonts w:ascii="Times New Roman" w:hAnsi="Times New Roman" w:eastAsia="Times New Roman" w:cs="Times New Roman"/>
      <w:sz w:val="23"/>
      <w:szCs w:val="23"/>
      <w:shd w:val="clear" w:color="auto" w:fill="ffffff"/>
    </w:rPr>
  </w:style>
  <w:style w:type="paragraph" w:styleId="1442" w:customStyle="1">
    <w:name w:val="Колонтитул верхний название организации"/>
    <w:basedOn w:val="903"/>
    <w:link w:val="1444"/>
    <w:qFormat/>
    <w:pPr>
      <w:jc w:val="center"/>
      <w:spacing w:after="0" w:line="240" w:lineRule="auto"/>
    </w:pPr>
    <w:rPr>
      <w:rFonts w:ascii="Arial" w:hAnsi="Arial" w:cs="Arial"/>
      <w:b/>
      <w:caps/>
    </w:rPr>
  </w:style>
  <w:style w:type="paragraph" w:styleId="1443" w:customStyle="1">
    <w:name w:val="Колонтитул верхний адрес"/>
    <w:basedOn w:val="903"/>
    <w:link w:val="1445"/>
    <w:qFormat/>
    <w:pPr>
      <w:jc w:val="center"/>
      <w:spacing w:after="0" w:line="240" w:lineRule="auto"/>
    </w:pPr>
    <w:rPr>
      <w:rFonts w:ascii="Arial" w:hAnsi="Arial" w:cs="Arial"/>
      <w:color w:val="7f7f7f" w:themeColor="text1" w:themeTint="80"/>
      <w:sz w:val="20"/>
      <w:szCs w:val="24"/>
    </w:rPr>
  </w:style>
  <w:style w:type="character" w:styleId="1444" w:customStyle="1">
    <w:name w:val="Колонтитул верхний название организации Знак"/>
    <w:basedOn w:val="913"/>
    <w:link w:val="1442"/>
    <w:rPr>
      <w:rFonts w:ascii="Arial" w:hAnsi="Arial" w:cs="Arial"/>
      <w:b/>
      <w:caps/>
    </w:rPr>
  </w:style>
  <w:style w:type="character" w:styleId="1445" w:customStyle="1">
    <w:name w:val="Колонтитул верхний адрес Знак"/>
    <w:basedOn w:val="913"/>
    <w:link w:val="1443"/>
    <w:rPr>
      <w:rFonts w:ascii="Arial" w:hAnsi="Arial" w:cs="Arial"/>
      <w:color w:val="7f7f7f" w:themeColor="text1" w:themeTint="80"/>
      <w:sz w:val="20"/>
      <w:szCs w:val="24"/>
    </w:rPr>
  </w:style>
  <w:style w:type="paragraph" w:styleId="1446" w:customStyle="1">
    <w:name w:val="Текст таблицы левое выравнивание"/>
    <w:basedOn w:val="903"/>
    <w:link w:val="1448"/>
    <w:qFormat/>
    <w:pPr>
      <w:spacing w:before="60" w:after="60" w:line="240" w:lineRule="auto"/>
    </w:pPr>
    <w:rPr>
      <w:rFonts w:ascii="Arial" w:hAnsi="Arial" w:cs="Arial"/>
      <w:sz w:val="28"/>
      <w:szCs w:val="28"/>
    </w:rPr>
  </w:style>
  <w:style w:type="paragraph" w:styleId="1447" w:customStyle="1">
    <w:name w:val="Текст таблицы правое выравнивание"/>
    <w:basedOn w:val="903"/>
    <w:link w:val="1450"/>
    <w:qFormat/>
    <w:pPr>
      <w:jc w:val="right"/>
      <w:spacing w:before="60" w:after="60" w:line="240" w:lineRule="auto"/>
    </w:pPr>
    <w:rPr>
      <w:rFonts w:ascii="Arial" w:hAnsi="Arial" w:cs="Arial"/>
      <w:sz w:val="28"/>
      <w:szCs w:val="28"/>
    </w:rPr>
  </w:style>
  <w:style w:type="character" w:styleId="1448" w:customStyle="1">
    <w:name w:val="Текст таблицы левое выравнивание Знак"/>
    <w:basedOn w:val="913"/>
    <w:link w:val="1446"/>
    <w:rPr>
      <w:rFonts w:ascii="Arial" w:hAnsi="Arial" w:cs="Arial"/>
      <w:sz w:val="28"/>
      <w:szCs w:val="28"/>
    </w:rPr>
  </w:style>
  <w:style w:type="paragraph" w:styleId="1449" w:customStyle="1">
    <w:name w:val="Текст таблицы центр"/>
    <w:basedOn w:val="903"/>
    <w:link w:val="1451"/>
    <w:qFormat/>
    <w:pPr>
      <w:jc w:val="center"/>
      <w:spacing w:before="480" w:after="0" w:line="240" w:lineRule="auto"/>
    </w:pPr>
    <w:rPr>
      <w:rFonts w:ascii="Arial" w:hAnsi="Arial" w:cs="Arial"/>
      <w:sz w:val="28"/>
      <w:szCs w:val="28"/>
    </w:rPr>
  </w:style>
  <w:style w:type="character" w:styleId="1450" w:customStyle="1">
    <w:name w:val="Текст таблицы правое выравнивание Знак"/>
    <w:basedOn w:val="913"/>
    <w:link w:val="1447"/>
    <w:rPr>
      <w:rFonts w:ascii="Arial" w:hAnsi="Arial" w:cs="Arial"/>
      <w:sz w:val="28"/>
      <w:szCs w:val="28"/>
    </w:rPr>
  </w:style>
  <w:style w:type="character" w:styleId="1451" w:customStyle="1">
    <w:name w:val="Текст таблицы центр Знак"/>
    <w:basedOn w:val="913"/>
    <w:link w:val="1449"/>
    <w:rPr>
      <w:rFonts w:ascii="Arial" w:hAnsi="Arial" w:cs="Arial"/>
      <w:sz w:val="28"/>
      <w:szCs w:val="28"/>
    </w:rPr>
  </w:style>
  <w:style w:type="paragraph" w:styleId="1452" w:customStyle="1">
    <w:name w:val="Колонтитул нижний Название файла"/>
    <w:basedOn w:val="903"/>
    <w:link w:val="1453"/>
    <w:qFormat/>
    <w:pPr>
      <w:spacing w:after="0" w:line="240" w:lineRule="auto"/>
    </w:pPr>
    <w:rPr>
      <w:rFonts w:ascii="Arial" w:hAnsi="Arial" w:cs="Arial"/>
      <w:sz w:val="16"/>
      <w:szCs w:val="16"/>
    </w:rPr>
  </w:style>
  <w:style w:type="character" w:styleId="1453" w:customStyle="1">
    <w:name w:val="Колонтитул нижний Название файла Знак"/>
    <w:basedOn w:val="913"/>
    <w:link w:val="1452"/>
    <w:rPr>
      <w:rFonts w:ascii="Arial" w:hAnsi="Arial" w:cs="Arial"/>
      <w:sz w:val="16"/>
      <w:szCs w:val="16"/>
    </w:rPr>
  </w:style>
  <w:style w:type="character" w:styleId="1454" w:customStyle="1">
    <w:name w:val="Без интервала Знак"/>
    <w:link w:val="1320"/>
    <w:uiPriority w:val="1"/>
    <w:rPr>
      <w:rFonts w:ascii="Calibri" w:hAnsi="Calibri" w:eastAsia="Calibri" w:cs="Times New Roman"/>
    </w:rPr>
  </w:style>
  <w:style w:type="paragraph" w:styleId="1455">
    <w:name w:val="Revision"/>
    <w:hidden/>
    <w:uiPriority w:val="99"/>
    <w:semiHidden/>
    <w:pPr>
      <w:spacing w:after="0" w:line="240" w:lineRule="auto"/>
    </w:pPr>
    <w:rPr>
      <w:rFonts w:ascii="Arial" w:hAnsi="Arial" w:cs="Arial"/>
      <w:sz w:val="24"/>
      <w:szCs w:val="24"/>
    </w:rPr>
  </w:style>
  <w:style w:type="character" w:styleId="1456" w:customStyle="1">
    <w:name w:val="apple-converted-space"/>
    <w:basedOn w:val="913"/>
  </w:style>
  <w:style w:type="paragraph" w:styleId="1457" w:customStyle="1">
    <w:name w:val="Ал_1. заголовок"/>
    <w:basedOn w:val="1071"/>
    <w:qFormat/>
    <w:pPr>
      <w:numPr>
        <w:ilvl w:val="0"/>
        <w:numId w:val="28"/>
      </w:numPr>
      <w:contextualSpacing w:val="0"/>
      <w:jc w:val="center"/>
      <w:keepNext/>
      <w:spacing w:before="240" w:after="240" w:line="240" w:lineRule="auto"/>
      <w:outlineLvl w:val="1"/>
    </w:pPr>
    <w:rPr>
      <w:rFonts w:ascii="Times New Roman" w:hAnsi="Times New Roman" w:cs="Times New Roman"/>
      <w:b/>
      <w:caps/>
      <w:sz w:val="26"/>
      <w:szCs w:val="26"/>
    </w:rPr>
  </w:style>
  <w:style w:type="paragraph" w:styleId="1458" w:customStyle="1">
    <w:name w:val="Ал_1.1. подзаголовок"/>
    <w:basedOn w:val="1071"/>
    <w:qFormat/>
    <w:pPr>
      <w:numPr>
        <w:ilvl w:val="1"/>
        <w:numId w:val="28"/>
      </w:numPr>
      <w:contextualSpacing w:val="0"/>
      <w:jc w:val="both"/>
      <w:keepNext/>
      <w:spacing w:before="240" w:after="0" w:line="240" w:lineRule="auto"/>
      <w:outlineLvl w:val="2"/>
    </w:pPr>
    <w:rPr>
      <w:rFonts w:ascii="Times New Roman" w:hAnsi="Times New Roman" w:cs="Times New Roman"/>
      <w:b/>
      <w:sz w:val="26"/>
      <w:szCs w:val="26"/>
    </w:rPr>
  </w:style>
  <w:style w:type="paragraph" w:styleId="1459" w:customStyle="1">
    <w:name w:val="Ал_1.1.1. пункт"/>
    <w:basedOn w:val="1071"/>
    <w:link w:val="1461"/>
    <w:qFormat/>
    <w:pPr>
      <w:numPr>
        <w:ilvl w:val="2"/>
        <w:numId w:val="28"/>
      </w:numPr>
      <w:contextualSpacing w:val="0"/>
      <w:jc w:val="both"/>
      <w:spacing w:before="120" w:after="0" w:line="240" w:lineRule="auto"/>
      <w:outlineLvl w:val="3"/>
    </w:pPr>
    <w:rPr>
      <w:rFonts w:ascii="Times New Roman" w:hAnsi="Times New Roman" w:cs="Times New Roman"/>
      <w:sz w:val="26"/>
      <w:szCs w:val="26"/>
    </w:rPr>
  </w:style>
  <w:style w:type="paragraph" w:styleId="1460" w:customStyle="1">
    <w:name w:val="Ал_1) подпункт"/>
    <w:basedOn w:val="1071"/>
    <w:link w:val="1463"/>
    <w:qFormat/>
    <w:pPr>
      <w:numPr>
        <w:ilvl w:val="3"/>
        <w:numId w:val="28"/>
      </w:numPr>
      <w:contextualSpacing w:val="0"/>
      <w:jc w:val="both"/>
      <w:spacing w:before="120" w:after="0" w:line="240" w:lineRule="auto"/>
      <w:outlineLvl w:val="4"/>
    </w:pPr>
    <w:rPr>
      <w:rFonts w:ascii="Times New Roman" w:hAnsi="Times New Roman" w:cs="Times New Roman"/>
      <w:sz w:val="26"/>
      <w:szCs w:val="26"/>
    </w:rPr>
  </w:style>
  <w:style w:type="character" w:styleId="1461" w:customStyle="1">
    <w:name w:val="Ал_1.1.1. пункт Знак"/>
    <w:basedOn w:val="913"/>
    <w:link w:val="1459"/>
    <w:rPr>
      <w:rFonts w:ascii="Times New Roman" w:hAnsi="Times New Roman" w:cs="Times New Roman"/>
      <w:sz w:val="26"/>
      <w:szCs w:val="26"/>
    </w:rPr>
  </w:style>
  <w:style w:type="numbering" w:styleId="1462" w:customStyle="1">
    <w:name w:val="Ал_ДОЗ"/>
    <w:uiPriority w:val="99"/>
    <w:pPr>
      <w:numPr>
        <w:ilvl w:val="0"/>
        <w:numId w:val="30"/>
      </w:numPr>
    </w:pPr>
  </w:style>
  <w:style w:type="character" w:styleId="1463" w:customStyle="1">
    <w:name w:val="Ал_1) подпункт Знак"/>
    <w:basedOn w:val="913"/>
    <w:link w:val="1460"/>
    <w:rPr>
      <w:rFonts w:ascii="Times New Roman" w:hAnsi="Times New Roman" w:cs="Times New Roman"/>
      <w:sz w:val="26"/>
      <w:szCs w:val="26"/>
    </w:rPr>
  </w:style>
  <w:style w:type="paragraph" w:styleId="1464" w:customStyle="1">
    <w:name w:val="Ал_а) маркер список"/>
    <w:basedOn w:val="1071"/>
    <w:qFormat/>
    <w:pPr>
      <w:numPr>
        <w:ilvl w:val="4"/>
        <w:numId w:val="28"/>
      </w:numPr>
      <w:contextualSpacing w:val="0"/>
      <w:jc w:val="both"/>
      <w:spacing w:before="120" w:after="0" w:line="240" w:lineRule="auto"/>
      <w:outlineLvl w:val="5"/>
    </w:pPr>
    <w:rPr>
      <w:rFonts w:ascii="Times New Roman" w:hAnsi="Times New Roman" w:cs="Times New Roman"/>
      <w:sz w:val="26"/>
      <w:szCs w:val="26"/>
    </w:rPr>
  </w:style>
  <w:style w:type="paragraph" w:styleId="1465" w:customStyle="1">
    <w:name w:val="Таймс_Текст"/>
    <w:basedOn w:val="903"/>
    <w:link w:val="1467"/>
    <w:qFormat/>
    <w:pPr>
      <w:ind w:firstLine="567"/>
      <w:jc w:val="both"/>
      <w:spacing w:after="0" w:line="360" w:lineRule="auto"/>
    </w:pPr>
    <w:rPr>
      <w:rFonts w:ascii="Times New Roman" w:hAnsi="Times New Roman" w:eastAsia="Times New Roman" w:cs="Times New Roman"/>
      <w:sz w:val="28"/>
      <w:szCs w:val="28"/>
    </w:rPr>
  </w:style>
  <w:style w:type="paragraph" w:styleId="1466" w:customStyle="1">
    <w:name w:val="Таймс_Список1"/>
    <w:basedOn w:val="1465"/>
    <w:qFormat/>
    <w:pPr>
      <w:numPr>
        <w:ilvl w:val="0"/>
        <w:numId w:val="29"/>
      </w:numPr>
      <w:ind w:left="567" w:firstLine="0"/>
      <w:tabs>
        <w:tab w:val="num" w:pos="360" w:leader="none"/>
        <w:tab w:val="left" w:pos="851" w:leader="none"/>
        <w:tab w:val="num" w:pos="1429" w:leader="none"/>
      </w:tabs>
    </w:pPr>
  </w:style>
  <w:style w:type="character" w:styleId="1467" w:customStyle="1">
    <w:name w:val="Таймс_Текст Знак"/>
    <w:link w:val="1465"/>
    <w:rPr>
      <w:rFonts w:ascii="Times New Roman" w:hAnsi="Times New Roman" w:eastAsia="Times New Roman" w:cs="Times New Roman"/>
      <w:sz w:val="28"/>
      <w:szCs w:val="28"/>
    </w:rPr>
  </w:style>
  <w:style w:type="paragraph" w:styleId="1468" w:customStyle="1">
    <w:name w:val="Таймс_Таблица"/>
    <w:basedOn w:val="903"/>
    <w:qFormat/>
    <w:pPr>
      <w:spacing w:after="0" w:line="240" w:lineRule="auto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469" w:customStyle="1">
    <w:name w:val="western"/>
    <w:basedOn w:val="903"/>
    <w:pPr>
      <w:jc w:val="center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1470" w:customStyle="1">
    <w:name w:val="Обычный9"/>
    <w:pPr>
      <w:ind w:firstLine="720"/>
      <w:jc w:val="both"/>
      <w:spacing w:after="0" w:line="240" w:lineRule="auto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471" w:customStyle="1">
    <w:name w:val="p1"/>
    <w:basedOn w:val="90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472" w:customStyle="1">
    <w:name w:val="s1"/>
    <w:basedOn w:val="913"/>
  </w:style>
  <w:style w:type="paragraph" w:styleId="1473" w:customStyle="1">
    <w:name w:val="p2"/>
    <w:basedOn w:val="90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474" w:customStyle="1">
    <w:name w:val="s2"/>
    <w:basedOn w:val="913"/>
  </w:style>
  <w:style w:type="paragraph" w:styleId="1475" w:customStyle="1">
    <w:name w:val="p3"/>
    <w:basedOn w:val="90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476" w:customStyle="1">
    <w:name w:val="s3"/>
    <w:basedOn w:val="913"/>
  </w:style>
  <w:style w:type="paragraph" w:styleId="1477" w:customStyle="1">
    <w:name w:val="p4"/>
    <w:basedOn w:val="90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78" w:customStyle="1">
    <w:name w:val="p5"/>
    <w:basedOn w:val="90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479" w:customStyle="1">
    <w:name w:val="s4"/>
    <w:basedOn w:val="913"/>
  </w:style>
  <w:style w:type="paragraph" w:styleId="1480" w:customStyle="1">
    <w:name w:val="p6"/>
    <w:basedOn w:val="90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81" w:customStyle="1">
    <w:name w:val="p7"/>
    <w:basedOn w:val="90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482" w:customStyle="1">
    <w:name w:val="s5"/>
    <w:basedOn w:val="913"/>
  </w:style>
  <w:style w:type="paragraph" w:styleId="1483" w:customStyle="1">
    <w:name w:val="p8"/>
    <w:basedOn w:val="90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84" w:customStyle="1">
    <w:name w:val="p9"/>
    <w:basedOn w:val="90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485" w:customStyle="1">
    <w:name w:val="s6"/>
    <w:basedOn w:val="913"/>
  </w:style>
  <w:style w:type="paragraph" w:styleId="1486" w:customStyle="1">
    <w:name w:val="p10"/>
    <w:basedOn w:val="90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487" w:customStyle="1">
    <w:name w:val="s7"/>
    <w:basedOn w:val="913"/>
  </w:style>
  <w:style w:type="paragraph" w:styleId="1488" w:customStyle="1">
    <w:name w:val="p11"/>
    <w:basedOn w:val="90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89" w:customStyle="1">
    <w:name w:val="p12"/>
    <w:basedOn w:val="90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90" w:customStyle="1">
    <w:name w:val="p13"/>
    <w:basedOn w:val="90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91" w:customStyle="1">
    <w:name w:val="p14"/>
    <w:basedOn w:val="90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92" w:customStyle="1">
    <w:name w:val="p15"/>
    <w:basedOn w:val="90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493" w:customStyle="1">
    <w:name w:val="f_dw_list"/>
    <w:basedOn w:val="913"/>
  </w:style>
  <w:style w:type="character" w:styleId="1494" w:customStyle="1">
    <w:name w:val="f_dw_list_last"/>
    <w:basedOn w:val="913"/>
  </w:style>
  <w:style w:type="character" w:styleId="1495" w:customStyle="1">
    <w:name w:val="f_dw_caption"/>
    <w:basedOn w:val="913"/>
  </w:style>
  <w:style w:type="paragraph" w:styleId="1496" w:customStyle="1">
    <w:name w:val="font5"/>
    <w:basedOn w:val="90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1497" w:customStyle="1">
    <w:name w:val="font6"/>
    <w:basedOn w:val="90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000000"/>
      <w:sz w:val="14"/>
      <w:szCs w:val="14"/>
      <w:lang w:eastAsia="ru-RU"/>
    </w:rPr>
  </w:style>
  <w:style w:type="paragraph" w:styleId="1498" w:customStyle="1">
    <w:name w:val="font7"/>
    <w:basedOn w:val="90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styleId="1499" w:customStyle="1">
    <w:name w:val="xl89"/>
    <w:basedOn w:val="903"/>
    <w:pPr>
      <w:spacing w:before="100" w:beforeAutospacing="1" w:after="100" w:afterAutospacing="1" w:line="240" w:lineRule="auto"/>
      <w:pBdr>
        <w:right w:val="single" w:color="000000" w:sz="8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500" w:customStyle="1">
    <w:name w:val="xl90"/>
    <w:basedOn w:val="90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501" w:customStyle="1">
    <w:name w:val="xl91"/>
    <w:basedOn w:val="903"/>
    <w:pPr>
      <w:jc w:val="center"/>
      <w:spacing w:before="100" w:beforeAutospacing="1" w:after="100" w:afterAutospacing="1" w:line="240" w:lineRule="auto"/>
      <w:pBdr>
        <w:top w:val="single" w:color="000000" w:sz="8" w:space="0"/>
        <w:left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502" w:customStyle="1">
    <w:name w:val="xl92"/>
    <w:basedOn w:val="903"/>
    <w:pPr>
      <w:jc w:val="center"/>
      <w:spacing w:before="100" w:beforeAutospacing="1" w:after="100" w:afterAutospacing="1" w:line="240" w:lineRule="auto"/>
      <w:pBdr>
        <w:left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503" w:customStyle="1">
    <w:name w:val="xl93"/>
    <w:basedOn w:val="903"/>
    <w:pPr>
      <w:jc w:val="center"/>
      <w:spacing w:before="100" w:beforeAutospacing="1" w:after="100" w:afterAutospacing="1" w:line="240" w:lineRule="auto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504" w:customStyle="1">
    <w:name w:val="xl94"/>
    <w:basedOn w:val="903"/>
    <w:pPr>
      <w:jc w:val="center"/>
      <w:spacing w:before="100" w:beforeAutospacing="1" w:after="100" w:afterAutospacing="1" w:line="240" w:lineRule="auto"/>
      <w:pBdr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505" w:customStyle="1">
    <w:name w:val="xl95"/>
    <w:basedOn w:val="903"/>
    <w:pPr>
      <w:jc w:val="center"/>
      <w:spacing w:before="100" w:beforeAutospacing="1" w:after="100" w:afterAutospacing="1" w:line="240" w:lineRule="auto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506" w:customStyle="1">
    <w:name w:val="xl96"/>
    <w:basedOn w:val="903"/>
    <w:pPr>
      <w:jc w:val="center"/>
      <w:spacing w:before="100" w:beforeAutospacing="1" w:after="100" w:afterAutospacing="1" w:line="240" w:lineRule="auto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507" w:customStyle="1">
    <w:name w:val="xl97"/>
    <w:basedOn w:val="903"/>
    <w:pPr>
      <w:spacing w:before="100" w:beforeAutospacing="1" w:after="100" w:afterAutospacing="1" w:line="240" w:lineRule="auto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508">
    <w:name w:val="Unresolved Mention"/>
    <w:basedOn w:val="913"/>
    <w:uiPriority w:val="99"/>
    <w:semiHidden/>
    <w:unhideWhenUsed/>
    <w:rPr>
      <w:color w:val="605e5c"/>
      <w:shd w:val="clear" w:color="auto" w:fill="e1dfdd"/>
    </w:rPr>
  </w:style>
  <w:style w:type="paragraph" w:styleId="1509" w:customStyle="1">
    <w:name w:val="Style8"/>
    <w:basedOn w:val="903"/>
    <w:uiPriority w:val="99"/>
    <w:pPr>
      <w:jc w:val="both"/>
      <w:spacing w:after="0" w:line="254" w:lineRule="exact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510" w:customStyle="1">
    <w:name w:val="msonormal"/>
    <w:basedOn w:val="90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511" w:customStyle="1">
    <w:name w:val="Абзац списка;Маркер;Абзац списка4;Bullet List;FooterText;numbered;SL_Абзац списка;название;Bullet Number;Нумерованый список;lp1;List Paragraph;f_Абзац 1;ПАРАГРАФ;List Paragraph1;текст;1;UL;Абзац маркированнный;Paragraphe de liste1;ТЗ список;мой;ПКФ Спис"/>
    <w:basedOn w:val="903"/>
    <w:link w:val="1512"/>
    <w:pPr>
      <w:contextualSpacing/>
      <w:ind w:left="720" w:firstLine="720"/>
      <w:jc w:val="both"/>
      <w:spacing w:after="0" w:line="240" w:lineRule="auto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1512" w:customStyle="1">
    <w:name w:val="Абзац списка Знак;Маркер Знак;Абзац списка1 Знак;Абзац списка4 Знак;Bullet List Знак;FooterText Знак;numbered Знак;SL_Абзац списка Знак;название Знак;List Paragraph Знак;Bullet Number Знак;Нумерованый список Знак;lp1 Знак;f_Абзац 1 Знак;ПАРАГРАФ Знак"/>
    <w:link w:val="1511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1513" w:customStyle="1">
    <w:name w:val="align_left"/>
    <w:basedOn w:val="90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514" w:customStyle="1">
    <w:name w:val="ConsNonformat Знак"/>
    <w:link w:val="1314"/>
    <w:rPr>
      <w:rFonts w:ascii="Courier New" w:hAnsi="Courier New" w:eastAsia="Times New Roman" w:cs="Courier New"/>
      <w:sz w:val="20"/>
      <w:szCs w:val="20"/>
      <w:lang w:eastAsia="ru-RU"/>
    </w:rPr>
  </w:style>
  <w:style w:type="paragraph" w:styleId="1515" w:customStyle="1">
    <w:name w:val="ConsPlusTitle"/>
    <w:pPr>
      <w:spacing w:after="0" w:line="240" w:lineRule="auto"/>
      <w:widowControl w:val="off"/>
    </w:pPr>
    <w:rPr>
      <w:rFonts w:ascii="Calibri" w:hAnsi="Calibri" w:eastAsia="Times New Roman" w:cs="Calibri"/>
      <w:b/>
      <w:szCs w:val="20"/>
      <w:lang w:eastAsia="ru-RU"/>
    </w:rPr>
  </w:style>
  <w:style w:type="character" w:styleId="1516" w:customStyle="1">
    <w:name w:val="Обычный (веб) Знак"/>
    <w:uiPriority w:val="99"/>
    <w:rPr>
      <w:rFonts w:ascii="Times New Roman" w:hAnsi="Times New Roman" w:eastAsia="Calibri" w:cs="Times New Roman"/>
      <w:sz w:val="24"/>
      <w:szCs w:val="24"/>
    </w:rPr>
  </w:style>
  <w:style w:type="character" w:styleId="1517" w:customStyle="1">
    <w:name w:val="Название Знак"/>
    <w:rPr>
      <w:rFonts w:ascii="Arial" w:hAnsi="Arial" w:eastAsia="Times New Roman" w:cs="Times New Roman"/>
      <w:color w:val="808080"/>
      <w:sz w:val="48"/>
      <w:szCs w:val="20"/>
      <w:lang w:eastAsia="ar-SA"/>
    </w:rPr>
  </w:style>
  <w:style w:type="paragraph" w:styleId="1518" w:customStyle="1">
    <w:name w:val="docdata"/>
    <w:basedOn w:val="90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519" w:customStyle="1">
    <w:name w:val="xl98"/>
    <w:basedOn w:val="903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color w:val="000000"/>
      <w:sz w:val="20"/>
      <w:szCs w:val="20"/>
      <w:lang w:eastAsia="ru-RU"/>
    </w:rPr>
  </w:style>
  <w:style w:type="paragraph" w:styleId="1520" w:customStyle="1">
    <w:name w:val="xl99"/>
    <w:basedOn w:val="903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521" w:customStyle="1">
    <w:name w:val="xl100"/>
    <w:basedOn w:val="903"/>
    <w:pPr>
      <w:spacing w:before="100" w:beforeAutospacing="1" w:after="100" w:afterAutospacing="1" w:line="240" w:lineRule="auto"/>
      <w:shd w:val="clear" w:color="000000" w:fill="ffffff"/>
    </w:pPr>
    <w:rPr>
      <w:rFonts w:ascii="Calibri" w:hAnsi="Calibri" w:eastAsia="Times New Roman" w:cs="Calibri"/>
      <w:sz w:val="24"/>
      <w:szCs w:val="24"/>
      <w:lang w:eastAsia="ru-RU"/>
    </w:rPr>
  </w:style>
  <w:style w:type="paragraph" w:styleId="1522" w:customStyle="1">
    <w:name w:val="xl101"/>
    <w:basedOn w:val="903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8"/>
      <w:szCs w:val="18"/>
      <w:lang w:eastAsia="ru-RU"/>
    </w:rPr>
  </w:style>
  <w:style w:type="paragraph" w:styleId="1523" w:customStyle="1">
    <w:name w:val="xl102"/>
    <w:basedOn w:val="903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524" w:customStyle="1">
    <w:name w:val="xl103"/>
    <w:basedOn w:val="903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8"/>
      <w:szCs w:val="18"/>
      <w:lang w:eastAsia="ru-RU"/>
    </w:rPr>
  </w:style>
  <w:style w:type="paragraph" w:styleId="1525" w:customStyle="1">
    <w:name w:val="xl104"/>
    <w:basedOn w:val="903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1526" w:customStyle="1">
    <w:name w:val="xl105"/>
    <w:basedOn w:val="903"/>
    <w:pPr>
      <w:jc w:val="center"/>
      <w:spacing w:before="100" w:beforeAutospacing="1" w:after="100" w:afterAutospacing="1" w:line="240" w:lineRule="auto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527" w:customStyle="1">
    <w:name w:val="xl106"/>
    <w:basedOn w:val="903"/>
    <w:pPr>
      <w:spacing w:before="100" w:beforeAutospacing="1" w:after="100" w:afterAutospacing="1" w:line="240" w:lineRule="auto"/>
    </w:pPr>
    <w:rPr>
      <w:rFonts w:ascii="Calibri" w:hAnsi="Calibri" w:eastAsia="Times New Roman" w:cs="Calibri"/>
      <w:sz w:val="24"/>
      <w:szCs w:val="24"/>
      <w:lang w:eastAsia="ru-RU"/>
    </w:rPr>
  </w:style>
  <w:style w:type="paragraph" w:styleId="1528" w:customStyle="1">
    <w:name w:val="xl107"/>
    <w:basedOn w:val="90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529" w:customStyle="1">
    <w:name w:val="xl108"/>
    <w:basedOn w:val="903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530" w:customStyle="1">
    <w:name w:val="xl109"/>
    <w:basedOn w:val="903"/>
    <w:pPr>
      <w:spacing w:before="100" w:beforeAutospacing="1" w:after="100" w:afterAutospacing="1" w:line="240" w:lineRule="auto"/>
      <w:shd w:val="clear" w:color="000000" w:fill="ffff00"/>
    </w:pPr>
    <w:rPr>
      <w:rFonts w:ascii="Calibri" w:hAnsi="Calibri" w:eastAsia="Times New Roman" w:cs="Calibri"/>
      <w:sz w:val="24"/>
      <w:szCs w:val="24"/>
      <w:lang w:eastAsia="ru-RU"/>
    </w:rPr>
  </w:style>
  <w:style w:type="paragraph" w:styleId="1531" w:customStyle="1">
    <w:name w:val="xl110"/>
    <w:basedOn w:val="903"/>
    <w:pPr>
      <w:spacing w:before="100" w:beforeAutospacing="1" w:after="100" w:afterAutospacing="1" w:line="240" w:lineRule="auto"/>
    </w:pPr>
    <w:rPr>
      <w:rFonts w:ascii="Calibri" w:hAnsi="Calibri" w:eastAsia="Times New Roman" w:cs="Calibri"/>
      <w:color w:val="ff0000"/>
      <w:sz w:val="24"/>
      <w:szCs w:val="24"/>
      <w:lang w:eastAsia="ru-RU"/>
    </w:rPr>
  </w:style>
  <w:style w:type="paragraph" w:styleId="1532" w:customStyle="1">
    <w:name w:val="xl111"/>
    <w:basedOn w:val="903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533" w:customStyle="1">
    <w:name w:val="xl112"/>
    <w:basedOn w:val="903"/>
    <w:pPr>
      <w:spacing w:before="100" w:beforeAutospacing="1" w:after="100" w:afterAutospacing="1" w:line="240" w:lineRule="auto"/>
      <w:shd w:val="clear" w:color="000000" w:fill="f4b084"/>
    </w:pPr>
    <w:rPr>
      <w:rFonts w:ascii="Calibri" w:hAnsi="Calibri" w:eastAsia="Times New Roman" w:cs="Calibri"/>
      <w:sz w:val="24"/>
      <w:szCs w:val="24"/>
      <w:lang w:eastAsia="ru-RU"/>
    </w:rPr>
  </w:style>
  <w:style w:type="paragraph" w:styleId="1534" w:customStyle="1">
    <w:name w:val="xl113"/>
    <w:basedOn w:val="903"/>
    <w:pPr>
      <w:jc w:val="center"/>
      <w:spacing w:before="100" w:beforeAutospacing="1" w:after="100" w:afterAutospacing="1" w:line="240" w:lineRule="auto"/>
      <w:shd w:val="clear" w:color="000000" w:fill="f4b084"/>
    </w:pPr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1535" w:customStyle="1">
    <w:name w:val="xl114"/>
    <w:basedOn w:val="903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536" w:customStyle="1">
    <w:name w:val="xl115"/>
    <w:basedOn w:val="903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537" w:customStyle="1">
    <w:name w:val="xl116"/>
    <w:basedOn w:val="903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538" w:customStyle="1">
    <w:name w:val="xl117"/>
    <w:basedOn w:val="903"/>
    <w:pPr>
      <w:spacing w:before="100" w:beforeAutospacing="1" w:after="100" w:afterAutospacing="1" w:line="240" w:lineRule="auto"/>
    </w:pPr>
    <w:rPr>
      <w:rFonts w:ascii="Calibri" w:hAnsi="Calibri" w:eastAsia="Times New Roman" w:cs="Calibri"/>
      <w:sz w:val="24"/>
      <w:szCs w:val="24"/>
      <w:lang w:eastAsia="ru-RU"/>
    </w:rPr>
  </w:style>
  <w:style w:type="paragraph" w:styleId="1539" w:customStyle="1">
    <w:name w:val="xl118"/>
    <w:basedOn w:val="903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1540" w:customStyle="1">
    <w:name w:val="xl119"/>
    <w:basedOn w:val="903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8"/>
      <w:szCs w:val="18"/>
      <w:lang w:eastAsia="ru-RU"/>
    </w:rPr>
  </w:style>
  <w:style w:type="paragraph" w:styleId="1541" w:customStyle="1">
    <w:name w:val="xl120"/>
    <w:basedOn w:val="903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8"/>
      <w:szCs w:val="18"/>
      <w:lang w:eastAsia="ru-RU"/>
    </w:rPr>
  </w:style>
  <w:style w:type="paragraph" w:styleId="1542" w:customStyle="1">
    <w:name w:val="xl121"/>
    <w:basedOn w:val="903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543" w:customStyle="1">
    <w:name w:val="xl122"/>
    <w:basedOn w:val="903"/>
    <w:pPr>
      <w:jc w:val="center"/>
      <w:spacing w:before="100" w:beforeAutospacing="1" w:after="100" w:afterAutospacing="1" w:line="240" w:lineRule="auto"/>
      <w:shd w:val="clear" w:color="000000" w:fill="a9d08e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544" w:customStyle="1">
    <w:name w:val="xl123"/>
    <w:basedOn w:val="903"/>
    <w:pPr>
      <w:jc w:val="center"/>
      <w:spacing w:before="100" w:beforeAutospacing="1" w:after="100" w:afterAutospacing="1" w:line="240" w:lineRule="auto"/>
      <w:shd w:val="clear" w:color="000000" w:fill="a9d08e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545" w:customStyle="1">
    <w:name w:val="xl124"/>
    <w:basedOn w:val="903"/>
    <w:pPr>
      <w:jc w:val="center"/>
      <w:spacing w:before="100" w:beforeAutospacing="1" w:after="100" w:afterAutospacing="1" w:line="240" w:lineRule="auto"/>
      <w:shd w:val="clear" w:color="000000" w:fill="a9d08e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546" w:customStyle="1">
    <w:name w:val="xl125"/>
    <w:basedOn w:val="903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547" w:customStyle="1">
    <w:name w:val="xl126"/>
    <w:basedOn w:val="903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1548" w:customStyle="1">
    <w:name w:val="xl127"/>
    <w:basedOn w:val="903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18"/>
      <w:szCs w:val="18"/>
      <w:lang w:eastAsia="ru-RU"/>
    </w:rPr>
  </w:style>
  <w:style w:type="paragraph" w:styleId="1549" w:customStyle="1">
    <w:name w:val="xl128"/>
    <w:basedOn w:val="903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550" w:customStyle="1">
    <w:name w:val="xl129"/>
    <w:basedOn w:val="903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551" w:customStyle="1">
    <w:name w:val="xl130"/>
    <w:basedOn w:val="903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552" w:customStyle="1">
    <w:name w:val="xl131"/>
    <w:basedOn w:val="903"/>
    <w:pPr>
      <w:jc w:val="center"/>
      <w:spacing w:before="100" w:beforeAutospacing="1" w:after="100" w:afterAutospacing="1" w:line="240" w:lineRule="auto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553" w:customStyle="1">
    <w:name w:val="xl132"/>
    <w:basedOn w:val="903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color w:val="000000"/>
      <w:sz w:val="20"/>
      <w:szCs w:val="20"/>
      <w:lang w:eastAsia="ru-RU"/>
    </w:rPr>
  </w:style>
  <w:style w:type="paragraph" w:styleId="1554" w:customStyle="1">
    <w:name w:val="xl133"/>
    <w:basedOn w:val="903"/>
    <w:pPr>
      <w:jc w:val="center"/>
      <w:spacing w:before="100" w:beforeAutospacing="1" w:after="100" w:afterAutospacing="1" w:line="240" w:lineRule="auto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color w:val="000000"/>
      <w:sz w:val="20"/>
      <w:szCs w:val="20"/>
      <w:lang w:eastAsia="ru-RU"/>
    </w:rPr>
  </w:style>
  <w:style w:type="paragraph" w:styleId="1555" w:customStyle="1">
    <w:name w:val="xl134"/>
    <w:basedOn w:val="903"/>
    <w:pPr>
      <w:spacing w:before="100" w:beforeAutospacing="1" w:after="100" w:afterAutospacing="1" w:line="240" w:lineRule="auto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556" w:customStyle="1">
    <w:name w:val="xl135"/>
    <w:basedOn w:val="903"/>
    <w:pPr>
      <w:jc w:val="center"/>
      <w:spacing w:before="100" w:beforeAutospacing="1" w:after="100" w:afterAutospacing="1" w:line="240" w:lineRule="auto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557" w:customStyle="1">
    <w:name w:val="xl136"/>
    <w:basedOn w:val="903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558" w:customStyle="1">
    <w:name w:val="xl137"/>
    <w:basedOn w:val="903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559" w:customStyle="1">
    <w:name w:val="xl138"/>
    <w:basedOn w:val="903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560" w:customStyle="1">
    <w:name w:val="xl139"/>
    <w:basedOn w:val="903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561" w:customStyle="1">
    <w:name w:val="xl140"/>
    <w:basedOn w:val="903"/>
    <w:pPr>
      <w:jc w:val="center"/>
      <w:spacing w:before="100" w:beforeAutospacing="1" w:after="100" w:afterAutospacing="1" w:line="240" w:lineRule="auto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562" w:customStyle="1">
    <w:name w:val="xl141"/>
    <w:basedOn w:val="903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563" w:customStyle="1">
    <w:name w:val="xl142"/>
    <w:basedOn w:val="903"/>
    <w:pPr>
      <w:jc w:val="center"/>
      <w:spacing w:before="100" w:beforeAutospacing="1" w:after="100" w:afterAutospacing="1" w:line="240" w:lineRule="auto"/>
      <w:shd w:val="clear" w:color="000000" w:fill="ffffff"/>
    </w:pPr>
    <w:rPr>
      <w:rFonts w:ascii="Calibri" w:hAnsi="Calibri" w:eastAsia="Times New Roman" w:cs="Calibri"/>
      <w:sz w:val="24"/>
      <w:szCs w:val="24"/>
      <w:lang w:eastAsia="ru-RU"/>
    </w:rPr>
  </w:style>
  <w:style w:type="paragraph" w:styleId="1564" w:customStyle="1">
    <w:name w:val="xl143"/>
    <w:basedOn w:val="903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565" w:customStyle="1">
    <w:name w:val="xl144"/>
    <w:basedOn w:val="903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566" w:customStyle="1">
    <w:name w:val="xl145"/>
    <w:basedOn w:val="903"/>
    <w:pPr>
      <w:jc w:val="center"/>
      <w:spacing w:before="100" w:beforeAutospacing="1" w:after="100" w:afterAutospacing="1" w:line="240" w:lineRule="auto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567" w:customStyle="1">
    <w:name w:val="xl146"/>
    <w:basedOn w:val="903"/>
    <w:pPr>
      <w:jc w:val="center"/>
      <w:spacing w:before="100" w:beforeAutospacing="1" w:after="100" w:afterAutospacing="1" w:line="240" w:lineRule="auto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568" w:customStyle="1">
    <w:name w:val="xl147"/>
    <w:basedOn w:val="903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color w:val="000000"/>
      <w:sz w:val="20"/>
      <w:szCs w:val="20"/>
      <w:lang w:eastAsia="ru-RU"/>
    </w:rPr>
  </w:style>
  <w:style w:type="paragraph" w:styleId="1569" w:customStyle="1">
    <w:name w:val="xl148"/>
    <w:basedOn w:val="903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570" w:customStyle="1">
    <w:name w:val="xl149"/>
    <w:basedOn w:val="903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571" w:customStyle="1">
    <w:name w:val="xl150"/>
    <w:basedOn w:val="903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bottom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572" w:customStyle="1">
    <w:name w:val="xl151"/>
    <w:basedOn w:val="903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1573" w:customStyle="1">
    <w:name w:val="Обычный1 Знак"/>
    <w:link w:val="1378"/>
    <w:rPr>
      <w:rFonts w:ascii="Times New Roman" w:hAnsi="Times New Roman" w:eastAsia="Times New Roman" w:cs="Times New Roman"/>
      <w:sz w:val="28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header" Target="header6.xml" /><Relationship Id="rId15" Type="http://schemas.openxmlformats.org/officeDocument/2006/relationships/header" Target="header7.xml" /><Relationship Id="rId16" Type="http://schemas.openxmlformats.org/officeDocument/2006/relationships/footer" Target="footer1.xml" /><Relationship Id="rId17" Type="http://schemas.openxmlformats.org/officeDocument/2006/relationships/footer" Target="footer2.xml" /><Relationship Id="rId18" Type="http://schemas.openxmlformats.org/officeDocument/2006/relationships/footer" Target="footer3.xml" /><Relationship Id="rId19" Type="http://schemas.openxmlformats.org/officeDocument/2006/relationships/customXml" Target="../customXml/item1.xml" /><Relationship Id="rId20" Type="http://schemas.openxmlformats.org/officeDocument/2006/relationships/hyperlink" Target="mailto:sodr.tendr@mail.ru" TargetMode="External"/><Relationship Id="rId21" Type="http://schemas.openxmlformats.org/officeDocument/2006/relationships/hyperlink" Target="consultantplus://offline/ref=E5082BF4739F1F22EA8FCF187DD350D5D6159B5BF57D7D002C75FC9AFEE94A6E8C75C51F12091EA65483059DEBz9x8M" TargetMode="External"/><Relationship Id="rId22" Type="http://schemas.openxmlformats.org/officeDocument/2006/relationships/hyperlink" Target="http://223etp.zakazrf.ru/" TargetMode="External"/><Relationship Id="rId23" Type="http://schemas.openxmlformats.org/officeDocument/2006/relationships/hyperlink" Target="http://www.sodruzhestvoppk.ru" TargetMode="External"/><Relationship Id="rId24" Type="http://schemas.openxmlformats.org/officeDocument/2006/relationships/hyperlink" Target="http://223etp.zakazrf.ru/" TargetMode="External"/><Relationship Id="rId25" Type="http://schemas.openxmlformats.org/officeDocument/2006/relationships/hyperlink" Target="http://223etp.zakazrf.ru/" TargetMode="External"/><Relationship Id="rId26" Type="http://schemas.openxmlformats.org/officeDocument/2006/relationships/hyperlink" Target="http://223etp.zakazrf.ru/" TargetMode="External"/><Relationship Id="rId27" Type="http://schemas.openxmlformats.org/officeDocument/2006/relationships/hyperlink" Target="https://egrul.nalog.ru/" TargetMode="External"/><Relationship Id="rId28" Type="http://schemas.openxmlformats.org/officeDocument/2006/relationships/hyperlink" Target="https://ofd.nalog.ru/" TargetMode="External"/><Relationship Id="rId29" Type="http://schemas.openxmlformats.org/officeDocument/2006/relationships/hyperlink" Target="http://www.nalog.ru" TargetMode="External"/><Relationship Id="rId30" Type="http://schemas.openxmlformats.org/officeDocument/2006/relationships/hyperlink" Target="consultantplus://offline/ref=5126373A6C0DC5BE1AE5BF247482912E1BCBC98009FFC480FB735D20C5DBt3K" TargetMode="External"/><Relationship Id="rId31" Type="http://schemas.openxmlformats.org/officeDocument/2006/relationships/hyperlink" Target="http://www.zakupki.g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_rels/header6.xml.rels><?xml version="1.0" encoding="UTF-8" standalone="yes"?><Relationships xmlns="http://schemas.openxmlformats.org/package/2006/relationships"></Relationships>
</file>

<file path=word/_rels/header7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3EF4A-C5AA-4794-8D24-5C89CEFB5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Севастьянова Ирина Анатольевна</dc:creator>
  <cp:keywords/>
  <dc:description/>
  <cp:lastModifiedBy>Клабукова Яна</cp:lastModifiedBy>
  <cp:revision>86</cp:revision>
  <dcterms:created xsi:type="dcterms:W3CDTF">2023-10-13T06:53:00Z</dcterms:created>
  <dcterms:modified xsi:type="dcterms:W3CDTF">2026-08-12T07:19:54Z</dcterms:modified>
</cp:coreProperties>
</file>