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72028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584514">
        <w:rPr>
          <w:b/>
          <w:bCs/>
          <w:sz w:val="26"/>
          <w:szCs w:val="26"/>
        </w:rPr>
        <w:t>роведени</w:t>
      </w:r>
      <w:r w:rsidR="00611788">
        <w:rPr>
          <w:b/>
          <w:bCs/>
          <w:sz w:val="26"/>
          <w:szCs w:val="26"/>
        </w:rPr>
        <w:t>е</w:t>
      </w:r>
      <w:r w:rsidR="0036476A" w:rsidRPr="00584514">
        <w:rPr>
          <w:b/>
          <w:bCs/>
          <w:sz w:val="26"/>
          <w:szCs w:val="26"/>
        </w:rPr>
        <w:t xml:space="preserve"> конкурса</w:t>
      </w:r>
    </w:p>
    <w:p w:rsidR="00E62345" w:rsidRDefault="006A5D94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r w:rsidR="00A87393" w:rsidRPr="00B76ED3">
        <w:rPr>
          <w:sz w:val="28"/>
          <w:szCs w:val="28"/>
        </w:rPr>
        <w:t>№ 0611000000514000001 на право заключения контракта оказания услуг по проведению обязательного ежегодного  аудита бухгалтерской (финансовой) отчетности открытого акционерного общества «Содружество» за 2014 год</w:t>
      </w:r>
    </w:p>
    <w:p w:rsidR="0070178B" w:rsidRPr="002C0FFD" w:rsidRDefault="0070178B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</w:t>
      </w:r>
      <w:r w:rsidR="00A87393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 </w:t>
      </w:r>
      <w:r w:rsidR="00A87393" w:rsidRPr="00B91861">
        <w:rPr>
          <w:sz w:val="28"/>
          <w:szCs w:val="20"/>
        </w:rPr>
        <w:t xml:space="preserve">ОК- </w:t>
      </w:r>
      <w:r w:rsidR="00A87393">
        <w:rPr>
          <w:sz w:val="28"/>
          <w:szCs w:val="20"/>
        </w:rPr>
        <w:t>8</w:t>
      </w:r>
      <w:r w:rsidR="00A87393" w:rsidRPr="00B91861">
        <w:rPr>
          <w:sz w:val="28"/>
          <w:szCs w:val="20"/>
        </w:rPr>
        <w:t>/14 на право заключения договора оказания услуг проведение инициативной проверки Заказчика по установлению легитимности отнесения доходов и расходов ОАО «Содружество» от пригородных пассажирских перевозок по территории субъектов РФ.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>конкурс</w:t>
      </w:r>
      <w:r w:rsidR="00A87393">
        <w:rPr>
          <w:sz w:val="26"/>
          <w:szCs w:val="26"/>
        </w:rPr>
        <w:t>а</w:t>
      </w:r>
      <w:r w:rsidR="006366C9" w:rsidRPr="00584514">
        <w:rPr>
          <w:sz w:val="26"/>
          <w:szCs w:val="26"/>
        </w:rPr>
        <w:t xml:space="preserve"> </w:t>
      </w:r>
      <w:r w:rsidR="00A87393">
        <w:rPr>
          <w:bCs/>
          <w:sz w:val="26"/>
          <w:szCs w:val="26"/>
        </w:rPr>
        <w:t>0611000000514000001является бухгалтерия</w:t>
      </w:r>
      <w:r w:rsidR="00D12EC0">
        <w:rPr>
          <w:bCs/>
          <w:sz w:val="26"/>
          <w:szCs w:val="26"/>
        </w:rPr>
        <w:t>. Заказчиком</w:t>
      </w:r>
      <w:r w:rsidR="00E81B6A">
        <w:rPr>
          <w:bCs/>
          <w:sz w:val="26"/>
          <w:szCs w:val="26"/>
        </w:rPr>
        <w:t xml:space="preserve"> </w:t>
      </w:r>
      <w:r w:rsidR="0070178B">
        <w:rPr>
          <w:sz w:val="26"/>
          <w:szCs w:val="26"/>
        </w:rPr>
        <w:t>открыт</w:t>
      </w:r>
      <w:r w:rsidR="00A87393">
        <w:rPr>
          <w:sz w:val="26"/>
          <w:szCs w:val="26"/>
        </w:rPr>
        <w:t>ого</w:t>
      </w:r>
      <w:r w:rsidR="0070178B">
        <w:rPr>
          <w:sz w:val="26"/>
          <w:szCs w:val="26"/>
        </w:rPr>
        <w:t xml:space="preserve"> </w:t>
      </w:r>
      <w:r w:rsidR="00A87393">
        <w:rPr>
          <w:sz w:val="26"/>
          <w:szCs w:val="26"/>
        </w:rPr>
        <w:t>конкурса ОК 8/14</w:t>
      </w:r>
      <w:r w:rsidR="0070178B">
        <w:rPr>
          <w:sz w:val="26"/>
          <w:szCs w:val="26"/>
        </w:rPr>
        <w:t xml:space="preserve"> </w:t>
      </w:r>
      <w:r w:rsidR="00720287">
        <w:rPr>
          <w:sz w:val="26"/>
          <w:szCs w:val="26"/>
        </w:rPr>
        <w:t xml:space="preserve">является </w:t>
      </w:r>
      <w:proofErr w:type="spellStart"/>
      <w:r w:rsidR="00A87393">
        <w:rPr>
          <w:sz w:val="26"/>
          <w:szCs w:val="26"/>
        </w:rPr>
        <w:t>юридическо</w:t>
      </w:r>
      <w:proofErr w:type="spellEnd"/>
      <w:r w:rsidR="00A87393">
        <w:rPr>
          <w:sz w:val="26"/>
          <w:szCs w:val="26"/>
        </w:rPr>
        <w:t xml:space="preserve"> – информационный сектор</w:t>
      </w:r>
      <w:r w:rsidR="00720287">
        <w:rPr>
          <w:sz w:val="26"/>
          <w:szCs w:val="26"/>
        </w:rPr>
        <w:t>.</w:t>
      </w:r>
      <w:r w:rsidRPr="00584514">
        <w:rPr>
          <w:sz w:val="26"/>
          <w:szCs w:val="26"/>
        </w:rPr>
        <w:t xml:space="preserve">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720287" w:rsidRDefault="00720287" w:rsidP="000C55C6">
      <w:pPr>
        <w:widowControl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r w:rsidR="00A87393" w:rsidRPr="000C55C6">
        <w:rPr>
          <w:sz w:val="26"/>
          <w:szCs w:val="26"/>
        </w:rPr>
        <w:t>№ 0611000000514000001 (далее – Конкурс) на право заключения контракта оказания услуг по проведению обязательного ежегодного  аудита бухгалтерской (финансовой) отчетности открытого акционерного общества «Содружество» за 2014 год</w:t>
      </w:r>
    </w:p>
    <w:p w:rsidR="0070178B" w:rsidRPr="002C0FFD" w:rsidRDefault="0070178B" w:rsidP="000C55C6">
      <w:pPr>
        <w:widowControl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A87393">
        <w:rPr>
          <w:sz w:val="26"/>
          <w:szCs w:val="26"/>
        </w:rPr>
        <w:t xml:space="preserve">конкурс </w:t>
      </w:r>
      <w:r w:rsidR="00A87393" w:rsidRPr="000C55C6">
        <w:rPr>
          <w:sz w:val="26"/>
          <w:szCs w:val="26"/>
        </w:rPr>
        <w:t>ОК- 8/14 на право заключения договора оказания услуг проведение инициативной проверки Заказчика по установлению легитимности отнесения доходов и расходов ОАО «Содружество» от пригородных пассажирских перевозок по территории субъектов РФ.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lastRenderedPageBreak/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Default="00E81B6A" w:rsidP="00AC6FAC">
      <w:pPr>
        <w:ind w:firstLine="567"/>
      </w:pPr>
      <w:r>
        <w:t xml:space="preserve"> </w:t>
      </w:r>
    </w:p>
    <w:p w:rsidR="00720287" w:rsidRDefault="00720287" w:rsidP="00AC6FAC">
      <w:pPr>
        <w:ind w:firstLine="567"/>
      </w:pPr>
      <w:r w:rsidRPr="00584514">
        <w:rPr>
          <w:sz w:val="26"/>
          <w:szCs w:val="26"/>
        </w:rPr>
        <w:t xml:space="preserve">Извещение и </w:t>
      </w:r>
      <w:r>
        <w:rPr>
          <w:sz w:val="26"/>
          <w:szCs w:val="26"/>
        </w:rPr>
        <w:t>конкурсная до</w:t>
      </w:r>
      <w:r w:rsidRPr="00584514">
        <w:rPr>
          <w:sz w:val="26"/>
          <w:szCs w:val="26"/>
        </w:rPr>
        <w:t xml:space="preserve">кументация </w:t>
      </w:r>
      <w:r w:rsidR="00A87393">
        <w:rPr>
          <w:sz w:val="26"/>
          <w:szCs w:val="26"/>
        </w:rPr>
        <w:t>0611000000514000001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21</w:t>
      </w:r>
      <w:r w:rsidRPr="00584514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6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7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720287" w:rsidRDefault="00720287" w:rsidP="00AC6FAC">
      <w:pPr>
        <w:ind w:firstLine="567"/>
      </w:pPr>
      <w:r w:rsidRPr="00584514">
        <w:rPr>
          <w:sz w:val="26"/>
          <w:szCs w:val="26"/>
        </w:rPr>
        <w:t xml:space="preserve">Извещение </w:t>
      </w:r>
      <w:r w:rsidR="00E60DCC">
        <w:rPr>
          <w:sz w:val="26"/>
          <w:szCs w:val="26"/>
        </w:rPr>
        <w:t xml:space="preserve">и аукционная документация </w:t>
      </w:r>
      <w:r w:rsidR="00A87393">
        <w:rPr>
          <w:sz w:val="26"/>
          <w:szCs w:val="26"/>
        </w:rPr>
        <w:t>ОК 8/14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</w:t>
      </w:r>
      <w:r w:rsidR="00A87393">
        <w:rPr>
          <w:sz w:val="26"/>
          <w:szCs w:val="26"/>
        </w:rPr>
        <w:t>2</w:t>
      </w:r>
      <w:r w:rsidRPr="00584514">
        <w:rPr>
          <w:sz w:val="26"/>
          <w:szCs w:val="26"/>
        </w:rPr>
        <w:t xml:space="preserve">» </w:t>
      </w:r>
      <w:r w:rsidR="00E60DCC">
        <w:rPr>
          <w:sz w:val="26"/>
          <w:szCs w:val="26"/>
        </w:rPr>
        <w:t>ма</w:t>
      </w:r>
      <w:r w:rsidR="00A87393">
        <w:rPr>
          <w:sz w:val="26"/>
          <w:szCs w:val="26"/>
        </w:rPr>
        <w:t>я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8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9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3A13F5">
        <w:rPr>
          <w:b/>
          <w:bCs/>
          <w:sz w:val="26"/>
          <w:szCs w:val="26"/>
        </w:rPr>
        <w:t>конкурсной</w:t>
      </w:r>
      <w:r w:rsidR="00A34EEA" w:rsidRPr="00584514">
        <w:rPr>
          <w:b/>
          <w:bCs/>
          <w:sz w:val="26"/>
          <w:szCs w:val="26"/>
        </w:rPr>
        <w:t xml:space="preserve">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1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624E08" w:rsidRDefault="00624E08" w:rsidP="00624E08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bCs/>
          <w:sz w:val="26"/>
          <w:szCs w:val="26"/>
        </w:rPr>
        <w:t xml:space="preserve">Открытый конкурс </w:t>
      </w:r>
      <w:r w:rsidR="00A87393">
        <w:rPr>
          <w:bCs/>
          <w:sz w:val="26"/>
          <w:szCs w:val="26"/>
        </w:rPr>
        <w:t>0611000000514000001</w:t>
      </w:r>
      <w:r>
        <w:rPr>
          <w:bCs/>
          <w:sz w:val="26"/>
          <w:szCs w:val="26"/>
        </w:rPr>
        <w:t xml:space="preserve"> – подана одна заявка</w:t>
      </w:r>
      <w:r>
        <w:rPr>
          <w:snapToGrid w:val="0"/>
          <w:sz w:val="28"/>
          <w:szCs w:val="28"/>
          <w:lang w:val="ru-MO"/>
        </w:rPr>
        <w:t>.</w:t>
      </w:r>
    </w:p>
    <w:p w:rsidR="00624E08" w:rsidRDefault="00E60DCC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sz w:val="26"/>
          <w:szCs w:val="26"/>
        </w:rPr>
        <w:t xml:space="preserve">Открытый </w:t>
      </w:r>
      <w:r w:rsidR="00A87393">
        <w:rPr>
          <w:sz w:val="26"/>
          <w:szCs w:val="26"/>
        </w:rPr>
        <w:t>конкурс 8/14</w:t>
      </w:r>
      <w:r w:rsidR="00624E08">
        <w:rPr>
          <w:snapToGrid w:val="0"/>
          <w:sz w:val="28"/>
          <w:szCs w:val="28"/>
          <w:lang w:val="ru-MO"/>
        </w:rPr>
        <w:t xml:space="preserve"> – подан</w:t>
      </w:r>
      <w:r w:rsidR="00A87393">
        <w:rPr>
          <w:snapToGrid w:val="0"/>
          <w:sz w:val="28"/>
          <w:szCs w:val="28"/>
          <w:lang w:val="ru-MO"/>
        </w:rPr>
        <w:t>а</w:t>
      </w:r>
      <w:r w:rsidR="00624E08">
        <w:rPr>
          <w:snapToGrid w:val="0"/>
          <w:sz w:val="28"/>
          <w:szCs w:val="28"/>
          <w:lang w:val="ru-MO"/>
        </w:rPr>
        <w:t xml:space="preserve"> </w:t>
      </w:r>
      <w:r w:rsidR="00A87393">
        <w:rPr>
          <w:snapToGrid w:val="0"/>
          <w:sz w:val="28"/>
          <w:szCs w:val="28"/>
          <w:lang w:val="ru-MO"/>
        </w:rPr>
        <w:t>одна</w:t>
      </w:r>
      <w:r>
        <w:rPr>
          <w:snapToGrid w:val="0"/>
          <w:sz w:val="28"/>
          <w:szCs w:val="28"/>
          <w:lang w:val="ru-MO"/>
        </w:rPr>
        <w:t xml:space="preserve"> заявк</w:t>
      </w:r>
      <w:r w:rsidR="00A87393">
        <w:rPr>
          <w:snapToGrid w:val="0"/>
          <w:sz w:val="28"/>
          <w:szCs w:val="28"/>
          <w:lang w:val="ru-MO"/>
        </w:rPr>
        <w:t>а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Итоги проведения </w:t>
      </w:r>
      <w:r w:rsidR="003A13F5">
        <w:rPr>
          <w:b/>
          <w:bCs/>
          <w:sz w:val="26"/>
          <w:szCs w:val="26"/>
        </w:rPr>
        <w:t>конкурсов</w:t>
      </w:r>
    </w:p>
    <w:p w:rsidR="006D4AF4" w:rsidRDefault="006D4AF4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r w:rsidR="00A87393">
        <w:rPr>
          <w:sz w:val="26"/>
          <w:szCs w:val="26"/>
        </w:rPr>
        <w:t>0611000000514000001</w:t>
      </w:r>
    </w:p>
    <w:p w:rsidR="00A87393" w:rsidRDefault="00A87393" w:rsidP="00A87393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7051"/>
      </w:tblGrid>
      <w:tr w:rsidR="00A87393" w:rsidRPr="00CC3368" w:rsidTr="00F80FDC">
        <w:trPr>
          <w:trHeight w:val="668"/>
        </w:trPr>
        <w:tc>
          <w:tcPr>
            <w:tcW w:w="2523" w:type="dxa"/>
          </w:tcPr>
          <w:p w:rsidR="00A87393" w:rsidRPr="00F22A3B" w:rsidRDefault="00A87393" w:rsidP="00F80FDC">
            <w:pPr>
              <w:pStyle w:val="a7"/>
              <w:tabs>
                <w:tab w:val="left" w:pos="-142"/>
              </w:tabs>
              <w:spacing w:line="24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F22A3B">
              <w:rPr>
                <w:b/>
                <w:sz w:val="26"/>
                <w:szCs w:val="26"/>
              </w:rPr>
              <w:t>Регистрационный номер</w:t>
            </w:r>
          </w:p>
        </w:tc>
        <w:tc>
          <w:tcPr>
            <w:tcW w:w="7191" w:type="dxa"/>
          </w:tcPr>
          <w:p w:rsidR="00A87393" w:rsidRPr="00F22A3B" w:rsidRDefault="00A87393" w:rsidP="00F80FDC">
            <w:pPr>
              <w:pStyle w:val="a7"/>
              <w:tabs>
                <w:tab w:val="left" w:pos="-142"/>
              </w:tabs>
              <w:spacing w:line="24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F22A3B">
              <w:rPr>
                <w:b/>
                <w:sz w:val="26"/>
                <w:szCs w:val="26"/>
              </w:rPr>
              <w:t>Наименование Участников размещения заказа и почтовые адреса</w:t>
            </w:r>
          </w:p>
        </w:tc>
      </w:tr>
      <w:tr w:rsidR="00A87393" w:rsidRPr="00CC3368" w:rsidTr="00F80FDC">
        <w:trPr>
          <w:trHeight w:val="257"/>
        </w:trPr>
        <w:tc>
          <w:tcPr>
            <w:tcW w:w="2523" w:type="dxa"/>
            <w:vAlign w:val="center"/>
          </w:tcPr>
          <w:p w:rsidR="00A87393" w:rsidRPr="00F22A3B" w:rsidRDefault="00A87393" w:rsidP="00F80FDC">
            <w:pPr>
              <w:ind w:left="-284" w:right="-2"/>
              <w:rPr>
                <w:snapToGrid w:val="0"/>
                <w:sz w:val="26"/>
                <w:szCs w:val="26"/>
                <w:lang w:val="ru-MO"/>
              </w:rPr>
            </w:pPr>
            <w:r w:rsidRPr="00F22A3B">
              <w:rPr>
                <w:snapToGrid w:val="0"/>
                <w:sz w:val="26"/>
                <w:szCs w:val="26"/>
                <w:lang w:val="ru-MO"/>
              </w:rPr>
              <w:t>1</w:t>
            </w:r>
          </w:p>
        </w:tc>
        <w:tc>
          <w:tcPr>
            <w:tcW w:w="7191" w:type="dxa"/>
          </w:tcPr>
          <w:p w:rsidR="00A87393" w:rsidRPr="00F22A3B" w:rsidRDefault="00A87393" w:rsidP="00F80FDC">
            <w:pPr>
              <w:ind w:left="-284" w:right="-2"/>
              <w:rPr>
                <w:snapToGrid w:val="0"/>
                <w:sz w:val="26"/>
                <w:szCs w:val="26"/>
                <w:lang w:val="ru-MO"/>
              </w:rPr>
            </w:pPr>
            <w:r w:rsidRPr="00F22A3B">
              <w:rPr>
                <w:snapToGrid w:val="0"/>
                <w:sz w:val="26"/>
                <w:szCs w:val="26"/>
                <w:lang w:val="ru-MO"/>
              </w:rPr>
              <w:t xml:space="preserve">ООО «ФБК Поволжье», РФ, 420080, РТ, </w:t>
            </w:r>
          </w:p>
          <w:p w:rsidR="00A87393" w:rsidRPr="00F22A3B" w:rsidRDefault="00A87393" w:rsidP="00F80FDC">
            <w:pPr>
              <w:ind w:left="-284" w:right="-2"/>
              <w:rPr>
                <w:snapToGrid w:val="0"/>
                <w:sz w:val="26"/>
                <w:szCs w:val="26"/>
                <w:lang w:val="ru-MO"/>
              </w:rPr>
            </w:pPr>
            <w:r w:rsidRPr="00F22A3B">
              <w:rPr>
                <w:snapToGrid w:val="0"/>
                <w:sz w:val="26"/>
                <w:szCs w:val="26"/>
                <w:lang w:val="ru-MO"/>
              </w:rPr>
              <w:t>г. Казань, пр. Ямашева, д.10,а/я 134</w:t>
            </w:r>
          </w:p>
        </w:tc>
      </w:tr>
    </w:tbl>
    <w:p w:rsidR="00A87393" w:rsidRDefault="00A87393" w:rsidP="00A87393">
      <w:pPr>
        <w:widowControl/>
        <w:overflowPunct w:val="0"/>
        <w:autoSpaceDE w:val="0"/>
        <w:autoSpaceDN w:val="0"/>
        <w:adjustRightInd w:val="0"/>
        <w:ind w:left="567" w:firstLine="0"/>
        <w:textAlignment w:val="baseline"/>
        <w:rPr>
          <w:sz w:val="26"/>
          <w:szCs w:val="26"/>
        </w:rPr>
      </w:pPr>
    </w:p>
    <w:p w:rsidR="0070178B" w:rsidRDefault="0070178B" w:rsidP="0070178B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признан победителем и заключен договор.</w:t>
      </w:r>
    </w:p>
    <w:p w:rsidR="008A59DA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A87393">
        <w:rPr>
          <w:sz w:val="26"/>
          <w:szCs w:val="26"/>
        </w:rPr>
        <w:t>конкурс ОК 8/14</w:t>
      </w:r>
    </w:p>
    <w:p w:rsidR="00A87393" w:rsidRDefault="00A87393" w:rsidP="00A87393">
      <w:pPr>
        <w:ind w:firstLine="567"/>
        <w:rPr>
          <w:sz w:val="26"/>
          <w:szCs w:val="26"/>
        </w:rPr>
      </w:pPr>
    </w:p>
    <w:tbl>
      <w:tblPr>
        <w:tblpPr w:leftFromText="180" w:rightFromText="180" w:vertAnchor="text" w:horzAnchor="margin" w:tblpX="-293" w:tblpY="82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234"/>
        <w:gridCol w:w="1814"/>
        <w:gridCol w:w="1887"/>
        <w:gridCol w:w="2058"/>
      </w:tblGrid>
      <w:tr w:rsidR="00A87393" w:rsidRPr="00017FD1" w:rsidTr="00F80FDC">
        <w:trPr>
          <w:trHeight w:val="1404"/>
          <w:tblHeader/>
        </w:trPr>
        <w:tc>
          <w:tcPr>
            <w:tcW w:w="972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126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A87393" w:rsidRPr="007A70AC" w:rsidRDefault="00A87393" w:rsidP="00F80FDC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14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51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</w:t>
            </w:r>
            <w:r w:rsidRPr="007A70AC">
              <w:t xml:space="preserve"> услуг,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37" w:type="pct"/>
          </w:tcPr>
          <w:p w:rsidR="00A87393" w:rsidRPr="007A70AC" w:rsidRDefault="00A87393" w:rsidP="00F80FDC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</w:t>
            </w:r>
            <w:r w:rsidRPr="007A70AC">
              <w:t xml:space="preserve"> услуг, указанный в Конкурсной заявке в бумажном виде</w:t>
            </w:r>
          </w:p>
        </w:tc>
      </w:tr>
      <w:tr w:rsidR="00A87393" w:rsidRPr="00017FD1" w:rsidTr="00F80FDC">
        <w:trPr>
          <w:trHeight w:val="368"/>
          <w:tblHeader/>
        </w:trPr>
        <w:tc>
          <w:tcPr>
            <w:tcW w:w="972" w:type="pct"/>
            <w:vAlign w:val="center"/>
          </w:tcPr>
          <w:p w:rsidR="00A87393" w:rsidRPr="007A70AC" w:rsidRDefault="00A87393" w:rsidP="00F80FDC">
            <w:pPr>
              <w:ind w:right="175" w:firstLine="0"/>
              <w:jc w:val="center"/>
              <w:rPr>
                <w:bCs/>
              </w:rPr>
            </w:pPr>
            <w:r>
              <w:rPr>
                <w:bCs/>
              </w:rPr>
              <w:t>ООО «ФБК Поволжье»</w:t>
            </w:r>
          </w:p>
        </w:tc>
        <w:tc>
          <w:tcPr>
            <w:tcW w:w="1126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DC05CE">
              <w:t>566000,40</w:t>
            </w:r>
          </w:p>
        </w:tc>
        <w:tc>
          <w:tcPr>
            <w:tcW w:w="914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>
              <w:t>560</w:t>
            </w:r>
            <w:r w:rsidRPr="00DC05CE">
              <w:t>000,</w:t>
            </w:r>
            <w:r>
              <w:t>0</w:t>
            </w:r>
            <w:r w:rsidRPr="00DC05CE">
              <w:t>0</w:t>
            </w:r>
          </w:p>
        </w:tc>
        <w:tc>
          <w:tcPr>
            <w:tcW w:w="951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DC05CE">
              <w:t>не позднее 5 июля 2014 г.</w:t>
            </w:r>
          </w:p>
        </w:tc>
        <w:tc>
          <w:tcPr>
            <w:tcW w:w="1037" w:type="pct"/>
            <w:vAlign w:val="center"/>
          </w:tcPr>
          <w:p w:rsidR="00A87393" w:rsidRPr="007A70AC" w:rsidRDefault="00A87393" w:rsidP="00F80FDC">
            <w:pPr>
              <w:ind w:firstLine="0"/>
              <w:jc w:val="center"/>
            </w:pPr>
            <w:r w:rsidRPr="00DC05CE">
              <w:t>не позднее 5 июля 2014 г.</w:t>
            </w:r>
          </w:p>
        </w:tc>
      </w:tr>
    </w:tbl>
    <w:p w:rsidR="00A87393" w:rsidRDefault="00A87393" w:rsidP="00A87393">
      <w:pPr>
        <w:ind w:firstLine="567"/>
        <w:rPr>
          <w:sz w:val="26"/>
          <w:szCs w:val="26"/>
        </w:rPr>
      </w:pPr>
    </w:p>
    <w:p w:rsidR="00A87393" w:rsidRDefault="00A87393" w:rsidP="00A87393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признан победителем и заключен договор.</w:t>
      </w:r>
    </w:p>
    <w:p w:rsidR="00E60DCC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E60DCC" w:rsidRPr="00015E97" w:rsidRDefault="00E60DCC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8A59DA" w:rsidRDefault="000C55C6" w:rsidP="008A59DA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0611000000514000001</w:t>
      </w:r>
      <w:r w:rsidR="008A59DA" w:rsidRPr="002F1A26">
        <w:rPr>
          <w:bCs/>
          <w:sz w:val="26"/>
          <w:szCs w:val="26"/>
        </w:rPr>
        <w:t xml:space="preserve">- </w:t>
      </w:r>
      <w:r w:rsidR="00E60DCC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15</w:t>
      </w:r>
      <w:r w:rsidR="008A59DA">
        <w:rPr>
          <w:sz w:val="28"/>
          <w:szCs w:val="28"/>
        </w:rPr>
        <w:t>.0</w:t>
      </w:r>
      <w:r w:rsidR="00E60DCC">
        <w:rPr>
          <w:sz w:val="28"/>
          <w:szCs w:val="28"/>
        </w:rPr>
        <w:t>5</w:t>
      </w:r>
      <w:r w:rsidR="008A59DA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0611000000514000001-2</w:t>
      </w:r>
    </w:p>
    <w:p w:rsidR="008A59DA" w:rsidRDefault="000C55C6" w:rsidP="008A59DA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ОК 8/14</w:t>
      </w:r>
      <w:r w:rsidR="008A59DA" w:rsidRPr="002F1A26">
        <w:rPr>
          <w:bCs/>
          <w:sz w:val="26"/>
          <w:szCs w:val="26"/>
        </w:rPr>
        <w:t xml:space="preserve"> - </w:t>
      </w:r>
      <w:r w:rsidR="008A59DA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11</w:t>
      </w:r>
      <w:r w:rsidR="008A59D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A59DA">
        <w:rPr>
          <w:sz w:val="28"/>
          <w:szCs w:val="28"/>
        </w:rPr>
        <w:t xml:space="preserve">.2014 г. № </w:t>
      </w:r>
      <w:r w:rsidR="00E60D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A59DA">
        <w:rPr>
          <w:sz w:val="28"/>
          <w:szCs w:val="28"/>
        </w:rPr>
        <w:t>/14</w:t>
      </w:r>
    </w:p>
    <w:sectPr w:rsidR="008A59DA" w:rsidSect="00E60D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C2D7100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6309D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E56"/>
    <w:rsid w:val="00015E97"/>
    <w:rsid w:val="00041FF4"/>
    <w:rsid w:val="00045A00"/>
    <w:rsid w:val="0004669B"/>
    <w:rsid w:val="00052BE4"/>
    <w:rsid w:val="000A407D"/>
    <w:rsid w:val="000C218F"/>
    <w:rsid w:val="000C55C6"/>
    <w:rsid w:val="000C6120"/>
    <w:rsid w:val="000E1E96"/>
    <w:rsid w:val="0010354B"/>
    <w:rsid w:val="00142A33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E2D14"/>
    <w:rsid w:val="005F7492"/>
    <w:rsid w:val="00611788"/>
    <w:rsid w:val="0061783A"/>
    <w:rsid w:val="00624E08"/>
    <w:rsid w:val="006366C9"/>
    <w:rsid w:val="006449D6"/>
    <w:rsid w:val="00651A71"/>
    <w:rsid w:val="00656791"/>
    <w:rsid w:val="00661668"/>
    <w:rsid w:val="006A5D94"/>
    <w:rsid w:val="006A6509"/>
    <w:rsid w:val="006D4AF4"/>
    <w:rsid w:val="006E67BA"/>
    <w:rsid w:val="006E7779"/>
    <w:rsid w:val="006F6525"/>
    <w:rsid w:val="0070178B"/>
    <w:rsid w:val="00720287"/>
    <w:rsid w:val="00726BA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A59DA"/>
    <w:rsid w:val="008D17F3"/>
    <w:rsid w:val="008D5921"/>
    <w:rsid w:val="00911164"/>
    <w:rsid w:val="00912A1A"/>
    <w:rsid w:val="0093770F"/>
    <w:rsid w:val="009E12A0"/>
    <w:rsid w:val="00A00691"/>
    <w:rsid w:val="00A31F5B"/>
    <w:rsid w:val="00A34EEA"/>
    <w:rsid w:val="00A55E56"/>
    <w:rsid w:val="00A87393"/>
    <w:rsid w:val="00A903E4"/>
    <w:rsid w:val="00AA1CBC"/>
    <w:rsid w:val="00AC6FAC"/>
    <w:rsid w:val="00B740BE"/>
    <w:rsid w:val="00B812B7"/>
    <w:rsid w:val="00B8234E"/>
    <w:rsid w:val="00BA3AD6"/>
    <w:rsid w:val="00BD0A31"/>
    <w:rsid w:val="00C00C36"/>
    <w:rsid w:val="00C16152"/>
    <w:rsid w:val="00C86F1D"/>
    <w:rsid w:val="00C957DA"/>
    <w:rsid w:val="00CA3E9E"/>
    <w:rsid w:val="00CE1D67"/>
    <w:rsid w:val="00CF44CB"/>
    <w:rsid w:val="00D06DC5"/>
    <w:rsid w:val="00D12EC0"/>
    <w:rsid w:val="00D2218E"/>
    <w:rsid w:val="00D45F78"/>
    <w:rsid w:val="00D544CA"/>
    <w:rsid w:val="00D72736"/>
    <w:rsid w:val="00E13F4B"/>
    <w:rsid w:val="00E2703B"/>
    <w:rsid w:val="00E57B3F"/>
    <w:rsid w:val="00E60DCC"/>
    <w:rsid w:val="00E62345"/>
    <w:rsid w:val="00E81B6A"/>
    <w:rsid w:val="00EA44CF"/>
    <w:rsid w:val="00EE2177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zhestvop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druzhestvopp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C2F4-8B03-4602-B573-FB7CB61A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6</cp:revision>
  <cp:lastPrinted>2012-04-03T07:52:00Z</cp:lastPrinted>
  <dcterms:created xsi:type="dcterms:W3CDTF">2014-07-07T10:34:00Z</dcterms:created>
  <dcterms:modified xsi:type="dcterms:W3CDTF">2014-07-08T06:30:00Z</dcterms:modified>
</cp:coreProperties>
</file>